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30B" w:rsidRDefault="00E811D1" w:rsidP="00E811D1">
      <w:pPr>
        <w:pStyle w:val="Title"/>
      </w:pPr>
      <w:r>
        <w:t>MEPS tradeoffs</w:t>
      </w:r>
    </w:p>
    <w:p w:rsidR="00E811D1" w:rsidRDefault="00E811D1" w:rsidP="00E811D1"/>
    <w:p w:rsidR="00E811D1" w:rsidRDefault="00E811D1" w:rsidP="00E811D1">
      <w:pPr>
        <w:pStyle w:val="Heading1"/>
      </w:pPr>
      <w:r>
        <w:t xml:space="preserve">20 </w:t>
      </w:r>
      <w:r>
        <w:sym w:font="Symbol" w:char="F06D"/>
      </w:r>
      <w:r>
        <w:t>m ion front detector performance</w:t>
      </w:r>
    </w:p>
    <w:p w:rsidR="00E811D1" w:rsidRDefault="00E811D1" w:rsidP="00E811D1"/>
    <w:p w:rsidR="00000000" w:rsidRPr="00F16BE2" w:rsidRDefault="008D1550" w:rsidP="00033A5C">
      <w:pPr>
        <w:rPr>
          <w:lang w:val="en-US"/>
        </w:rPr>
      </w:pPr>
      <w:r w:rsidRPr="00F16BE2">
        <w:rPr>
          <w:lang w:val="en-US"/>
        </w:rPr>
        <w:t xml:space="preserve">The </w:t>
      </w:r>
      <w:proofErr w:type="gramStart"/>
      <w:r w:rsidRPr="00F16BE2">
        <w:rPr>
          <w:lang w:val="en-US"/>
        </w:rPr>
        <w:t>electron energy coverage requirement</w:t>
      </w:r>
      <w:proofErr w:type="gramEnd"/>
      <w:r w:rsidRPr="00F16BE2">
        <w:rPr>
          <w:lang w:val="en-US"/>
        </w:rPr>
        <w:t xml:space="preserve"> (</w:t>
      </w:r>
      <w:r w:rsidR="00033A5C">
        <w:rPr>
          <w:lang w:val="en-GB"/>
        </w:rPr>
        <w:t>3</w:t>
      </w:r>
      <w:r w:rsidRPr="00F16BE2">
        <w:rPr>
          <w:lang w:val="en-GB"/>
        </w:rPr>
        <w:t xml:space="preserve">0-600keV) </w:t>
      </w:r>
      <w:r w:rsidRPr="00F16BE2">
        <w:rPr>
          <w:lang w:val="en-US"/>
        </w:rPr>
        <w:t>will be easily met as it was done with Solar Orbiter/EPT.</w:t>
      </w:r>
    </w:p>
    <w:p w:rsidR="00000000" w:rsidRPr="00F16BE2" w:rsidRDefault="00033A5C" w:rsidP="00033A5C">
      <w:pPr>
        <w:rPr>
          <w:lang w:val="en-US"/>
        </w:rPr>
      </w:pPr>
      <w:proofErr w:type="gramStart"/>
      <w:r>
        <w:rPr>
          <w:lang w:val="en-US"/>
        </w:rPr>
        <w:t>But</w:t>
      </w:r>
      <w:proofErr w:type="gramEnd"/>
      <w:r>
        <w:rPr>
          <w:lang w:val="en-US"/>
        </w:rPr>
        <w:t xml:space="preserve"> t</w:t>
      </w:r>
      <w:r w:rsidR="008D1550" w:rsidRPr="00F16BE2">
        <w:rPr>
          <w:lang w:val="en-US"/>
        </w:rPr>
        <w:t>he energy lower end for ion detection has two ranges:</w:t>
      </w:r>
    </w:p>
    <w:p w:rsidR="00000000" w:rsidRPr="00F16BE2" w:rsidRDefault="008D1550" w:rsidP="00F16BE2">
      <w:pPr>
        <w:numPr>
          <w:ilvl w:val="1"/>
          <w:numId w:val="1"/>
        </w:numPr>
        <w:rPr>
          <w:lang w:val="en-US"/>
        </w:rPr>
      </w:pPr>
      <w:r w:rsidRPr="00F16BE2">
        <w:rPr>
          <w:b/>
          <w:bCs/>
          <w:lang w:val="en-US"/>
        </w:rPr>
        <w:t xml:space="preserve">[1.5MeV/n, 6 MeV/n] </w:t>
      </w:r>
      <w:r w:rsidRPr="00F16BE2">
        <w:sym w:font="Wingdings" w:char="F0E0"/>
      </w:r>
      <w:r w:rsidRPr="00F16BE2">
        <w:rPr>
          <w:lang w:val="en-US"/>
        </w:rPr>
        <w:t xml:space="preserve"> The detection and complete identification of these p+, ions </w:t>
      </w:r>
      <w:proofErr w:type="gramStart"/>
      <w:r w:rsidRPr="00F16BE2">
        <w:rPr>
          <w:lang w:val="en-US"/>
        </w:rPr>
        <w:t>is achieved</w:t>
      </w:r>
      <w:proofErr w:type="gramEnd"/>
      <w:r w:rsidRPr="00F16BE2">
        <w:rPr>
          <w:lang w:val="en-US"/>
        </w:rPr>
        <w:t xml:space="preserve"> by means of the </w:t>
      </w:r>
      <w:r w:rsidRPr="00F16BE2">
        <w:sym w:font="Symbol" w:char="F044"/>
      </w:r>
      <w:r w:rsidRPr="00F16BE2">
        <w:rPr>
          <w:lang w:val="en-US"/>
        </w:rPr>
        <w:t xml:space="preserve">E-E technique. </w:t>
      </w:r>
      <w:r w:rsidRPr="00F16BE2">
        <w:t>No problem.</w:t>
      </w:r>
    </w:p>
    <w:p w:rsidR="00000000" w:rsidRPr="00F16BE2" w:rsidRDefault="008D1550" w:rsidP="00F16BE2">
      <w:pPr>
        <w:numPr>
          <w:ilvl w:val="1"/>
          <w:numId w:val="1"/>
        </w:numPr>
        <w:rPr>
          <w:lang w:val="en-US"/>
        </w:rPr>
      </w:pPr>
      <w:r w:rsidRPr="00F16BE2">
        <w:rPr>
          <w:b/>
          <w:bCs/>
          <w:lang w:val="en-US"/>
        </w:rPr>
        <w:t>[30keV/n,1.5MeV/n]</w:t>
      </w:r>
      <w:r w:rsidRPr="00F16BE2">
        <w:rPr>
          <w:lang w:val="en-US"/>
        </w:rPr>
        <w:t xml:space="preserve"> </w:t>
      </w:r>
      <w:r w:rsidRPr="00F16BE2">
        <w:sym w:font="Wingdings" w:char="F0E0"/>
      </w:r>
      <w:r w:rsidRPr="00F16BE2">
        <w:rPr>
          <w:lang w:val="en-US"/>
        </w:rPr>
        <w:t xml:space="preserve"> These are stopping particles in the entrance 20</w:t>
      </w:r>
      <w:r w:rsidRPr="00F16BE2">
        <w:sym w:font="Symbol" w:char="F06D"/>
      </w:r>
      <w:r w:rsidRPr="00F16BE2">
        <w:rPr>
          <w:lang w:val="en-US"/>
        </w:rPr>
        <w:t xml:space="preserve">m thickness detector. These particles will be detected above threshold </w:t>
      </w:r>
      <w:r w:rsidRPr="00F16BE2">
        <w:sym w:font="Symbol" w:char="F07E"/>
      </w:r>
      <w:r w:rsidRPr="00F16BE2">
        <w:rPr>
          <w:lang w:val="en-US"/>
        </w:rPr>
        <w:t xml:space="preserve">70keV for protons (TBC, see later) and the identification will be based on groups </w:t>
      </w:r>
      <w:proofErr w:type="gramStart"/>
      <w:r w:rsidRPr="00F16BE2">
        <w:rPr>
          <w:lang w:val="en-US"/>
        </w:rPr>
        <w:t>of  energy</w:t>
      </w:r>
      <w:proofErr w:type="gramEnd"/>
      <w:r w:rsidRPr="00F16BE2">
        <w:rPr>
          <w:lang w:val="en-US"/>
        </w:rPr>
        <w:t xml:space="preserve"> deposition in this detector.</w:t>
      </w:r>
      <w:r w:rsidRPr="00F16BE2">
        <w:rPr>
          <w:lang w:val="en-US"/>
        </w:rPr>
        <w:t xml:space="preserve"> 30keV </w:t>
      </w:r>
      <w:proofErr w:type="gramStart"/>
      <w:r w:rsidRPr="00F16BE2">
        <w:rPr>
          <w:lang w:val="en-US"/>
        </w:rPr>
        <w:t>cannot be met</w:t>
      </w:r>
      <w:proofErr w:type="gramEnd"/>
      <w:r w:rsidRPr="00F16BE2">
        <w:rPr>
          <w:lang w:val="en-US"/>
        </w:rPr>
        <w:t xml:space="preserve"> without a time of flight (TOF) instrument.</w:t>
      </w:r>
    </w:p>
    <w:p w:rsidR="00000000" w:rsidRPr="00F16BE2" w:rsidRDefault="008D1550" w:rsidP="00033A5C">
      <w:pPr>
        <w:jc w:val="both"/>
        <w:rPr>
          <w:lang w:val="en-US"/>
        </w:rPr>
      </w:pPr>
      <w:r w:rsidRPr="00F16BE2">
        <w:rPr>
          <w:lang w:val="en-US"/>
        </w:rPr>
        <w:t xml:space="preserve">The </w:t>
      </w:r>
      <w:proofErr w:type="gramStart"/>
      <w:r w:rsidRPr="00F16BE2">
        <w:rPr>
          <w:lang w:val="en-US"/>
        </w:rPr>
        <w:t>lower energy limit for detection is mainly given by the front detector noise and the det</w:t>
      </w:r>
      <w:r w:rsidRPr="00F16BE2">
        <w:rPr>
          <w:lang w:val="en-US"/>
        </w:rPr>
        <w:t>ector dead layers</w:t>
      </w:r>
      <w:proofErr w:type="gramEnd"/>
      <w:r w:rsidRPr="00F16BE2">
        <w:rPr>
          <w:lang w:val="en-US"/>
        </w:rPr>
        <w:t>.</w:t>
      </w:r>
      <w:r w:rsidR="00033A5C">
        <w:rPr>
          <w:lang w:val="en-US"/>
        </w:rPr>
        <w:t xml:space="preserve"> </w:t>
      </w:r>
      <w:r w:rsidRPr="00F16BE2">
        <w:rPr>
          <w:lang w:val="en-US"/>
        </w:rPr>
        <w:t>Currently the MEPS team is verifying these quantities vs datasheet in old 20</w:t>
      </w:r>
      <w:r w:rsidRPr="00F16BE2">
        <w:sym w:font="Symbol" w:char="F06D"/>
      </w:r>
      <w:r w:rsidRPr="00F16BE2">
        <w:rPr>
          <w:lang w:val="en-US"/>
        </w:rPr>
        <w:t xml:space="preserve">m STEREO LET single detectors as well as in a custom 3 detector stack 20-300-300 </w:t>
      </w:r>
      <w:r w:rsidRPr="00F16BE2">
        <w:sym w:font="Symbol" w:char="F06D"/>
      </w:r>
      <w:r w:rsidRPr="00F16BE2">
        <w:rPr>
          <w:lang w:val="en-US"/>
        </w:rPr>
        <w:t>m.</w:t>
      </w:r>
      <w:r w:rsidR="00033A5C">
        <w:rPr>
          <w:lang w:val="en-US"/>
        </w:rPr>
        <w:t xml:space="preserve"> The p</w:t>
      </w:r>
      <w:r w:rsidRPr="00F16BE2">
        <w:rPr>
          <w:lang w:val="en-US"/>
        </w:rPr>
        <w:t>reliminary noise le</w:t>
      </w:r>
      <w:r w:rsidR="00033A5C">
        <w:rPr>
          <w:lang w:val="en-US"/>
        </w:rPr>
        <w:t xml:space="preserve">vels are in the range 30-50 </w:t>
      </w:r>
      <w:proofErr w:type="spellStart"/>
      <w:r w:rsidR="00033A5C">
        <w:rPr>
          <w:lang w:val="en-US"/>
        </w:rPr>
        <w:t>keV</w:t>
      </w:r>
      <w:proofErr w:type="spellEnd"/>
      <w:r w:rsidR="00033A5C">
        <w:rPr>
          <w:lang w:val="en-US"/>
        </w:rPr>
        <w:t xml:space="preserve">. </w:t>
      </w:r>
      <w:proofErr w:type="spellStart"/>
      <w:r w:rsidRPr="00F16BE2">
        <w:rPr>
          <w:lang w:val="en-US"/>
        </w:rPr>
        <w:t>Deadl</w:t>
      </w:r>
      <w:r w:rsidRPr="00F16BE2">
        <w:rPr>
          <w:lang w:val="en-US"/>
        </w:rPr>
        <w:t>ayer</w:t>
      </w:r>
      <w:proofErr w:type="spellEnd"/>
      <w:r w:rsidRPr="00F16BE2">
        <w:rPr>
          <w:lang w:val="en-US"/>
        </w:rPr>
        <w:t xml:space="preserve"> threshold for protons is 70keV according to datasheet (higher for heavy ions). Simulations provide slightly lower values. Accurate alpha particle experiment to verify these values is ongoing in Kiel.</w:t>
      </w:r>
    </w:p>
    <w:p w:rsidR="00000000" w:rsidRDefault="008D1550" w:rsidP="00033A5C">
      <w:pPr>
        <w:jc w:val="both"/>
        <w:rPr>
          <w:lang w:val="en-US"/>
        </w:rPr>
      </w:pPr>
      <w:r w:rsidRPr="00F16BE2">
        <w:rPr>
          <w:lang w:val="en-US"/>
        </w:rPr>
        <w:t xml:space="preserve">In view of these preliminary studies and results it is realistic to say that the MEPS lower </w:t>
      </w:r>
      <w:proofErr w:type="gramStart"/>
      <w:r w:rsidRPr="00F16BE2">
        <w:rPr>
          <w:lang w:val="en-US"/>
        </w:rPr>
        <w:t>end energy detection threshold</w:t>
      </w:r>
      <w:proofErr w:type="gramEnd"/>
      <w:r w:rsidRPr="00F16BE2">
        <w:rPr>
          <w:lang w:val="en-US"/>
        </w:rPr>
        <w:t xml:space="preserve"> would lie </w:t>
      </w:r>
      <w:r w:rsidR="00033A5C">
        <w:rPr>
          <w:lang w:val="en-US"/>
        </w:rPr>
        <w:t xml:space="preserve">around 100 </w:t>
      </w:r>
      <w:proofErr w:type="spellStart"/>
      <w:r w:rsidR="00033A5C">
        <w:rPr>
          <w:lang w:val="en-US"/>
        </w:rPr>
        <w:t>keV</w:t>
      </w:r>
      <w:proofErr w:type="spellEnd"/>
      <w:r w:rsidRPr="00F16BE2">
        <w:rPr>
          <w:lang w:val="en-US"/>
        </w:rPr>
        <w:t xml:space="preserve"> </w:t>
      </w:r>
      <w:r w:rsidR="00033A5C">
        <w:rPr>
          <w:lang w:val="en-US"/>
        </w:rPr>
        <w:t>for protons</w:t>
      </w:r>
      <w:r w:rsidRPr="00F16BE2">
        <w:rPr>
          <w:lang w:val="en-US"/>
        </w:rPr>
        <w:t>.</w:t>
      </w:r>
    </w:p>
    <w:p w:rsidR="0014787F" w:rsidRDefault="0014787F" w:rsidP="00033A5C">
      <w:pPr>
        <w:jc w:val="both"/>
        <w:rPr>
          <w:lang w:val="en-US"/>
        </w:rPr>
      </w:pPr>
      <w:r>
        <w:rPr>
          <w:lang w:val="en-US"/>
        </w:rPr>
        <w:t>The MEPS team is planning to continue with the experiments in the lab and in accelerator facilities to provide a more precise value of the detection threshold of the 20</w:t>
      </w:r>
      <w:r>
        <w:rPr>
          <w:lang w:val="en-US"/>
        </w:rPr>
        <w:sym w:font="Symbol" w:char="F06D"/>
      </w:r>
      <w:r>
        <w:rPr>
          <w:lang w:val="en-US"/>
        </w:rPr>
        <w:t>m detector. Conversations with the detector manufacturer in order to decrease the thickness of the dead layers (and thus, to reduce the threshold limit</w:t>
      </w:r>
      <w:r w:rsidR="008D1550">
        <w:rPr>
          <w:lang w:val="en-US"/>
        </w:rPr>
        <w:t>) have</w:t>
      </w:r>
      <w:r>
        <w:rPr>
          <w:lang w:val="en-US"/>
        </w:rPr>
        <w:t xml:space="preserve"> been initiated as well.</w:t>
      </w:r>
      <w:bookmarkStart w:id="0" w:name="_GoBack"/>
      <w:bookmarkEnd w:id="0"/>
    </w:p>
    <w:p w:rsidR="00033A5C" w:rsidRDefault="00033A5C" w:rsidP="00033A5C">
      <w:pPr>
        <w:jc w:val="both"/>
        <w:rPr>
          <w:lang w:val="en-US"/>
        </w:rPr>
      </w:pPr>
    </w:p>
    <w:p w:rsidR="00F16BE2" w:rsidRDefault="00F16BE2" w:rsidP="003C039F">
      <w:pPr>
        <w:jc w:val="center"/>
        <w:rPr>
          <w:lang w:val="en-US"/>
        </w:rPr>
      </w:pPr>
      <w:r w:rsidRPr="00F16BE2">
        <w:rPr>
          <w:lang w:val="en-US"/>
        </w:rPr>
        <w:drawing>
          <wp:inline distT="0" distB="0" distL="0" distR="0" wp14:anchorId="1AF97A9B" wp14:editId="2F0E170E">
            <wp:extent cx="3200400" cy="2400299"/>
            <wp:effectExtent l="0" t="0" r="0" b="63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48521" cy="2436390"/>
                    </a:xfrm>
                    <a:prstGeom prst="rect">
                      <a:avLst/>
                    </a:prstGeom>
                  </pic:spPr>
                </pic:pic>
              </a:graphicData>
            </a:graphic>
          </wp:inline>
        </w:drawing>
      </w:r>
    </w:p>
    <w:p w:rsidR="00F16BE2" w:rsidRPr="003C039F" w:rsidRDefault="00F16BE2" w:rsidP="003C039F">
      <w:pPr>
        <w:jc w:val="center"/>
        <w:rPr>
          <w:b/>
          <w:lang w:val="en-US"/>
        </w:rPr>
      </w:pPr>
      <w:r w:rsidRPr="003C039F">
        <w:rPr>
          <w:b/>
          <w:lang w:val="en-US"/>
        </w:rPr>
        <w:t>Fig</w:t>
      </w:r>
      <w:r w:rsidR="003C039F" w:rsidRPr="003C039F">
        <w:rPr>
          <w:b/>
          <w:lang w:val="en-US"/>
        </w:rPr>
        <w:t xml:space="preserve"> </w:t>
      </w:r>
      <w:r w:rsidRPr="003C039F">
        <w:rPr>
          <w:b/>
          <w:lang w:val="en-US"/>
        </w:rPr>
        <w:t xml:space="preserve">1. </w:t>
      </w:r>
      <w:proofErr w:type="gramStart"/>
      <w:r w:rsidRPr="003C039F">
        <w:rPr>
          <w:b/>
          <w:lang w:val="en-US"/>
        </w:rPr>
        <w:t>20-300-300</w:t>
      </w:r>
      <w:proofErr w:type="gramEnd"/>
      <w:r w:rsidRPr="003C039F">
        <w:rPr>
          <w:b/>
          <w:lang w:val="en-US"/>
        </w:rPr>
        <w:t xml:space="preserve"> </w:t>
      </w:r>
      <w:r w:rsidRPr="003C039F">
        <w:rPr>
          <w:b/>
        </w:rPr>
        <w:sym w:font="Symbol" w:char="F06D"/>
      </w:r>
      <w:r w:rsidRPr="003C039F">
        <w:rPr>
          <w:b/>
          <w:lang w:val="en-US"/>
        </w:rPr>
        <w:t>m demo model detector stack built for MEPS</w:t>
      </w:r>
    </w:p>
    <w:p w:rsidR="00F16BE2" w:rsidRDefault="00F16BE2" w:rsidP="00E811D1">
      <w:pPr>
        <w:rPr>
          <w:lang w:val="en-US"/>
        </w:rPr>
      </w:pPr>
    </w:p>
    <w:p w:rsidR="00F16BE2" w:rsidRDefault="00F16BE2" w:rsidP="003C039F">
      <w:pPr>
        <w:jc w:val="center"/>
        <w:rPr>
          <w:lang w:val="en-US"/>
        </w:rPr>
      </w:pPr>
      <w:r w:rsidRPr="00F16BE2">
        <w:rPr>
          <w:lang w:val="en-US"/>
        </w:rPr>
        <w:drawing>
          <wp:inline distT="0" distB="0" distL="0" distR="0" wp14:anchorId="27CCD11B" wp14:editId="55DD0D90">
            <wp:extent cx="3209925" cy="2407444"/>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36065" cy="2427049"/>
                    </a:xfrm>
                    <a:prstGeom prst="rect">
                      <a:avLst/>
                    </a:prstGeom>
                  </pic:spPr>
                </pic:pic>
              </a:graphicData>
            </a:graphic>
          </wp:inline>
        </w:drawing>
      </w:r>
    </w:p>
    <w:p w:rsidR="00F16BE2" w:rsidRPr="003C039F" w:rsidRDefault="00F16BE2" w:rsidP="003C039F">
      <w:pPr>
        <w:jc w:val="center"/>
        <w:rPr>
          <w:b/>
          <w:lang w:val="en-US"/>
        </w:rPr>
      </w:pPr>
      <w:r w:rsidRPr="003C039F">
        <w:rPr>
          <w:b/>
          <w:lang w:val="en-US"/>
        </w:rPr>
        <w:t>Fig 2. Alpha test with the demo detector stack</w:t>
      </w:r>
    </w:p>
    <w:p w:rsidR="00F16BE2" w:rsidRPr="00F16BE2" w:rsidRDefault="00F16BE2" w:rsidP="00F16BE2">
      <w:pPr>
        <w:rPr>
          <w:lang w:val="en-US"/>
        </w:rPr>
      </w:pPr>
    </w:p>
    <w:p w:rsidR="00F16BE2" w:rsidRDefault="005B1AA2" w:rsidP="005B1AA2">
      <w:pPr>
        <w:pStyle w:val="Heading1"/>
        <w:rPr>
          <w:lang w:val="en-US"/>
        </w:rPr>
      </w:pPr>
      <w:r>
        <w:rPr>
          <w:lang w:val="en-US"/>
        </w:rPr>
        <w:t>Second MEPS unit</w:t>
      </w:r>
      <w:r w:rsidR="00A65A33">
        <w:rPr>
          <w:lang w:val="en-US"/>
        </w:rPr>
        <w:t xml:space="preserve"> (email from Jonathan Rae and R. </w:t>
      </w:r>
      <w:proofErr w:type="spellStart"/>
      <w:r w:rsidR="00A65A33">
        <w:rPr>
          <w:lang w:val="en-US"/>
        </w:rPr>
        <w:t>Wimmer</w:t>
      </w:r>
      <w:proofErr w:type="spellEnd"/>
      <w:r w:rsidR="00A65A33">
        <w:rPr>
          <w:lang w:val="en-US"/>
        </w:rPr>
        <w:t xml:space="preserve"> presentation)</w:t>
      </w:r>
    </w:p>
    <w:p w:rsidR="00A65A33" w:rsidRPr="00A65A33" w:rsidRDefault="00A65A33" w:rsidP="00A65A33">
      <w:pPr>
        <w:spacing w:after="0" w:line="240" w:lineRule="auto"/>
        <w:rPr>
          <w:lang w:val="en-US"/>
        </w:rPr>
      </w:pPr>
      <w:r w:rsidRPr="00A65A33">
        <w:rPr>
          <w:rFonts w:eastAsia="Times New Roman" w:cs="Times New Roman"/>
          <w:lang w:val="en-US" w:eastAsia="en-GB"/>
        </w:rPr>
        <w:t>Early on during solar particle events, energetic particles</w:t>
      </w:r>
      <w:r w:rsidRPr="00A65A33">
        <w:rPr>
          <w:lang w:val="en-US"/>
        </w:rPr>
        <w:t xml:space="preserve"> flow along the IMF/Parker Spiral field, before becoming more isotropic due to in-transit scattering processes later on in the event at any given </w:t>
      </w:r>
      <w:proofErr w:type="spellStart"/>
      <w:r w:rsidRPr="00A65A33">
        <w:rPr>
          <w:lang w:val="en-US"/>
        </w:rPr>
        <w:t>heliospheric</w:t>
      </w:r>
      <w:proofErr w:type="spellEnd"/>
      <w:r w:rsidRPr="00A65A33">
        <w:rPr>
          <w:lang w:val="en-US"/>
        </w:rPr>
        <w:t xml:space="preserve"> distance.  Hence, energetic particle instruments such as MEPS require look directions that </w:t>
      </w:r>
      <w:proofErr w:type="gramStart"/>
      <w:r w:rsidRPr="00A65A33">
        <w:rPr>
          <w:lang w:val="en-US"/>
        </w:rPr>
        <w:t>are pointed</w:t>
      </w:r>
      <w:proofErr w:type="gramEnd"/>
      <w:r w:rsidRPr="00A65A33">
        <w:rPr>
          <w:lang w:val="en-US"/>
        </w:rPr>
        <w:t xml:space="preserve"> along the general Parker spiral/IMF topology.  </w:t>
      </w:r>
    </w:p>
    <w:p w:rsidR="00A65A33" w:rsidRPr="00A65A33" w:rsidRDefault="00A65A33" w:rsidP="00A65A33">
      <w:pPr>
        <w:spacing w:after="0" w:line="240" w:lineRule="auto"/>
        <w:rPr>
          <w:lang w:val="en-US"/>
        </w:rPr>
      </w:pPr>
    </w:p>
    <w:p w:rsidR="00A65A33" w:rsidRPr="00A65A33" w:rsidRDefault="00A65A33" w:rsidP="00A65A33">
      <w:pPr>
        <w:rPr>
          <w:lang w:val="en-US"/>
        </w:rPr>
      </w:pPr>
      <w:r w:rsidRPr="00A65A33">
        <w:rPr>
          <w:lang w:val="en-US"/>
        </w:rPr>
        <w:t xml:space="preserve">However, these are average or typical orientations, and in </w:t>
      </w:r>
      <w:proofErr w:type="gramStart"/>
      <w:r w:rsidRPr="00A65A33">
        <w:rPr>
          <w:lang w:val="en-US"/>
        </w:rPr>
        <w:t>reality</w:t>
      </w:r>
      <w:proofErr w:type="gramEnd"/>
      <w:r w:rsidRPr="00A65A33">
        <w:rPr>
          <w:lang w:val="en-US"/>
        </w:rPr>
        <w:t xml:space="preserve"> the real IMF can be significantly different to that of the average IMF.   With the bulk solar wind, there are variations in the orientation of the solar wind, but these are small variations on a near-radial solar wind flow.  However, Parker spiral angle is not as well </w:t>
      </w:r>
      <w:proofErr w:type="gramStart"/>
      <w:r w:rsidRPr="00A65A33">
        <w:rPr>
          <w:lang w:val="en-US"/>
        </w:rPr>
        <w:t>ordered</w:t>
      </w:r>
      <w:proofErr w:type="gramEnd"/>
      <w:r w:rsidRPr="00A65A33">
        <w:rPr>
          <w:lang w:val="en-US"/>
        </w:rPr>
        <w:t xml:space="preserve"> as bulk solar wind flow and IMF orientation are much more complex and variable.</w:t>
      </w:r>
    </w:p>
    <w:p w:rsidR="00A65A33" w:rsidRPr="00A65A33" w:rsidRDefault="00A65A33" w:rsidP="00A65A33">
      <w:pPr>
        <w:rPr>
          <w:lang w:val="en-US"/>
        </w:rPr>
      </w:pPr>
      <w:r w:rsidRPr="00A65A33">
        <w:rPr>
          <w:lang w:val="en-US"/>
        </w:rPr>
        <w:t xml:space="preserve">We agree that we were to report on a single unit MEPS during the negotiation meeting.  Following this negotiating meeting, we had several telecom and email exchanges whereby Kiel could discuss why and when </w:t>
      </w:r>
      <w:proofErr w:type="gramStart"/>
      <w:r w:rsidRPr="00A65A33">
        <w:rPr>
          <w:lang w:val="en-US"/>
        </w:rPr>
        <w:t>2</w:t>
      </w:r>
      <w:proofErr w:type="gramEnd"/>
      <w:r w:rsidRPr="00A65A33">
        <w:rPr>
          <w:lang w:val="en-US"/>
        </w:rPr>
        <w:t xml:space="preserve"> units may be needed for an operational SEP detection for LGR.  This is why MEPS continues to push for study of both </w:t>
      </w:r>
      <w:proofErr w:type="gramStart"/>
      <w:r w:rsidRPr="00A65A33">
        <w:rPr>
          <w:lang w:val="en-US"/>
        </w:rPr>
        <w:t>1</w:t>
      </w:r>
      <w:proofErr w:type="gramEnd"/>
      <w:r w:rsidRPr="00A65A33">
        <w:rPr>
          <w:lang w:val="en-US"/>
        </w:rPr>
        <w:t xml:space="preserve"> and 2 units.  </w:t>
      </w:r>
    </w:p>
    <w:p w:rsidR="00A65A33" w:rsidRPr="00A65A33" w:rsidRDefault="00A65A33" w:rsidP="00A65A33">
      <w:pPr>
        <w:rPr>
          <w:lang w:val="en-US"/>
        </w:rPr>
      </w:pPr>
      <w:r w:rsidRPr="00A65A33">
        <w:rPr>
          <w:lang w:val="en-US"/>
        </w:rPr>
        <w:t xml:space="preserve">Each unit has two sensor heads on top of it.  Each sensor head has </w:t>
      </w:r>
      <w:proofErr w:type="gramStart"/>
      <w:r w:rsidRPr="00A65A33">
        <w:rPr>
          <w:lang w:val="en-US"/>
        </w:rPr>
        <w:t>2</w:t>
      </w:r>
      <w:proofErr w:type="gramEnd"/>
      <w:r w:rsidRPr="00A65A33">
        <w:rPr>
          <w:lang w:val="en-US"/>
        </w:rPr>
        <w:t xml:space="preserve"> telescopes.  Each telescope has a forward and backward looking detector stack, where one direction measures electrons and the opposite direction measures ions. In this configuration, two telescopes will look approximately along the Parker spiral angle to provide redundancy.  More telescopes are required to ensure that MEPS (and any particle instrument) will see the particle event already at its onset and determine key characteristics of the event, such as onset time and location.  Since the particles stream along the IMF this means that the IMF needs to fall approximately into the telescope opening.  Because the particle pitch-angle distribution is not a perfect pencil beam, a certain width around the IMF </w:t>
      </w:r>
      <w:proofErr w:type="gramStart"/>
      <w:r w:rsidRPr="00A65A33">
        <w:rPr>
          <w:lang w:val="en-US"/>
        </w:rPr>
        <w:t>can be allowed</w:t>
      </w:r>
      <w:proofErr w:type="gramEnd"/>
      <w:r w:rsidRPr="00A65A33">
        <w:rPr>
          <w:lang w:val="en-US"/>
        </w:rPr>
        <w:t xml:space="preserve">.  Once the event continues, the SEPs </w:t>
      </w:r>
      <w:proofErr w:type="spellStart"/>
      <w:r w:rsidRPr="00A65A33">
        <w:rPr>
          <w:lang w:val="en-US"/>
        </w:rPr>
        <w:t>isotropize</w:t>
      </w:r>
      <w:proofErr w:type="spellEnd"/>
      <w:r w:rsidRPr="00A65A33">
        <w:rPr>
          <w:lang w:val="en-US"/>
        </w:rPr>
        <w:t xml:space="preserve"> due to scattering and then it would become sufficient to have a single look direction, but the key component of this detection is to determine onset time and location, and for that, as many look directions as possible is required.  </w:t>
      </w:r>
    </w:p>
    <w:p w:rsidR="00A65A33" w:rsidRPr="00A65A33" w:rsidRDefault="00A65A33" w:rsidP="00A65A33">
      <w:pPr>
        <w:rPr>
          <w:lang w:val="en-US"/>
        </w:rPr>
      </w:pPr>
      <w:r w:rsidRPr="00A65A33">
        <w:rPr>
          <w:lang w:val="en-US"/>
        </w:rPr>
        <w:lastRenderedPageBreak/>
        <w:t xml:space="preserve">Below some cases </w:t>
      </w:r>
      <w:proofErr w:type="gramStart"/>
      <w:r w:rsidRPr="00A65A33">
        <w:rPr>
          <w:lang w:val="en-US"/>
        </w:rPr>
        <w:t>are shown</w:t>
      </w:r>
      <w:proofErr w:type="gramEnd"/>
      <w:r w:rsidRPr="00A65A33">
        <w:rPr>
          <w:lang w:val="en-US"/>
        </w:rPr>
        <w:t xml:space="preserve"> where the IMF would not lie in the field-of-view of MEPS if there were only one unit.  They were all taken from STEREO’s SEPT instrument which may serve as a demo model of MEPS (SEPT was also built at CAU Kiel). These </w:t>
      </w:r>
      <w:r w:rsidR="006B25AD" w:rsidRPr="00A65A33">
        <w:rPr>
          <w:lang w:val="en-US"/>
        </w:rPr>
        <w:t>configurations</w:t>
      </w:r>
      <w:r w:rsidRPr="00A65A33">
        <w:rPr>
          <w:lang w:val="en-US"/>
        </w:rPr>
        <w:t xml:space="preserve"> show that not </w:t>
      </w:r>
      <w:proofErr w:type="gramStart"/>
      <w:r w:rsidRPr="00A65A33">
        <w:rPr>
          <w:lang w:val="en-US"/>
        </w:rPr>
        <w:t>all  events</w:t>
      </w:r>
      <w:proofErr w:type="gramEnd"/>
      <w:r w:rsidRPr="00A65A33">
        <w:rPr>
          <w:lang w:val="en-US"/>
        </w:rPr>
        <w:t xml:space="preserve"> are seen, or the event intensity is underestimated, or that the timing of the event is not correct if we have only one (forward-backward) look direction .  These are </w:t>
      </w:r>
      <w:proofErr w:type="gramStart"/>
      <w:r w:rsidRPr="00A65A33">
        <w:rPr>
          <w:lang w:val="en-US"/>
        </w:rPr>
        <w:t>all the</w:t>
      </w:r>
      <w:proofErr w:type="gramEnd"/>
      <w:r w:rsidRPr="00A65A33">
        <w:rPr>
          <w:lang w:val="en-US"/>
        </w:rPr>
        <w:t xml:space="preserve"> basis for justification for a second MEPS unit to cover the entire range of IMF orientations for timing, intensity and onset of Solar Energetic Particle events.</w:t>
      </w:r>
    </w:p>
    <w:p w:rsidR="00A65A33" w:rsidRPr="00A65A33" w:rsidRDefault="00A65A33" w:rsidP="00A65A33">
      <w:pPr>
        <w:rPr>
          <w:b/>
          <w:i/>
          <w:u w:val="single"/>
          <w:lang w:val="en-US"/>
        </w:rPr>
      </w:pPr>
    </w:p>
    <w:p w:rsidR="00A65A33" w:rsidRDefault="00A65A33" w:rsidP="00A65A33">
      <w:pPr>
        <w:keepNext/>
      </w:pPr>
      <w:r>
        <w:rPr>
          <w:noProof/>
          <w:lang w:val="en-US"/>
        </w:rPr>
        <w:drawing>
          <wp:inline distT="0" distB="0" distL="0" distR="0" wp14:anchorId="48A45C70" wp14:editId="647AFEB7">
            <wp:extent cx="5563870" cy="5500370"/>
            <wp:effectExtent l="0" t="0" r="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
                    <pic:cNvPicPr>
                      <a:picLocks noChangeAspect="1" noChangeArrowheads="1"/>
                    </pic:cNvPicPr>
                  </pic:nvPicPr>
                  <pic:blipFill>
                    <a:blip r:embed="rId7"/>
                    <a:stretch>
                      <a:fillRect/>
                    </a:stretch>
                  </pic:blipFill>
                  <pic:spPr bwMode="auto">
                    <a:xfrm>
                      <a:off x="0" y="0"/>
                      <a:ext cx="5563870" cy="5500370"/>
                    </a:xfrm>
                    <a:prstGeom prst="rect">
                      <a:avLst/>
                    </a:prstGeom>
                  </pic:spPr>
                </pic:pic>
              </a:graphicData>
            </a:graphic>
          </wp:inline>
        </w:drawing>
      </w:r>
    </w:p>
    <w:p w:rsidR="00A65A33" w:rsidRPr="00A65A33" w:rsidRDefault="00A65A33" w:rsidP="00A65A33">
      <w:pPr>
        <w:jc w:val="center"/>
        <w:rPr>
          <w:b/>
          <w:lang w:val="en-US"/>
        </w:rPr>
      </w:pPr>
      <w:r>
        <w:rPr>
          <w:b/>
          <w:lang w:val="en-US"/>
        </w:rPr>
        <w:t>Fig</w:t>
      </w:r>
      <w:r w:rsidRPr="00A65A33">
        <w:rPr>
          <w:b/>
          <w:lang w:val="en-US"/>
        </w:rPr>
        <w:t xml:space="preserve"> </w:t>
      </w:r>
      <w:r w:rsidRPr="00A65A33">
        <w:rPr>
          <w:b/>
          <w:lang w:val="en-US"/>
        </w:rPr>
        <w:t>3</w:t>
      </w:r>
      <w:r w:rsidRPr="00A65A33">
        <w:rPr>
          <w:b/>
          <w:lang w:val="en-US"/>
        </w:rPr>
        <w:t xml:space="preserve">.  </w:t>
      </w:r>
      <w:proofErr w:type="gramStart"/>
      <w:r w:rsidRPr="00A65A33">
        <w:rPr>
          <w:b/>
          <w:lang w:val="en-US"/>
        </w:rPr>
        <w:t>event</w:t>
      </w:r>
      <w:proofErr w:type="gramEnd"/>
      <w:r w:rsidRPr="00A65A33">
        <w:rPr>
          <w:b/>
          <w:lang w:val="en-US"/>
        </w:rPr>
        <w:t xml:space="preserve"> intensity only captured in one look direction</w:t>
      </w:r>
    </w:p>
    <w:p w:rsidR="00A65A33" w:rsidRDefault="00A65A33" w:rsidP="00A65A33">
      <w:pPr>
        <w:keepNext/>
      </w:pPr>
      <w:r>
        <w:rPr>
          <w:noProof/>
          <w:lang w:val="en-US"/>
        </w:rPr>
        <w:lastRenderedPageBreak/>
        <w:drawing>
          <wp:inline distT="0" distB="0" distL="0" distR="0" wp14:anchorId="5D8A9E00" wp14:editId="29DC58F1">
            <wp:extent cx="5474970" cy="5487670"/>
            <wp:effectExtent l="0" t="0" r="0"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9"/>
                    <pic:cNvPicPr>
                      <a:picLocks noChangeAspect="1" noChangeArrowheads="1"/>
                    </pic:cNvPicPr>
                  </pic:nvPicPr>
                  <pic:blipFill>
                    <a:blip r:embed="rId8"/>
                    <a:stretch>
                      <a:fillRect/>
                    </a:stretch>
                  </pic:blipFill>
                  <pic:spPr bwMode="auto">
                    <a:xfrm>
                      <a:off x="0" y="0"/>
                      <a:ext cx="5474970" cy="5487670"/>
                    </a:xfrm>
                    <a:prstGeom prst="rect">
                      <a:avLst/>
                    </a:prstGeom>
                  </pic:spPr>
                </pic:pic>
              </a:graphicData>
            </a:graphic>
          </wp:inline>
        </w:drawing>
      </w:r>
    </w:p>
    <w:p w:rsidR="00A65A33" w:rsidRPr="00A65A33" w:rsidRDefault="00A65A33" w:rsidP="00A65A33">
      <w:pPr>
        <w:jc w:val="center"/>
        <w:rPr>
          <w:b/>
          <w:lang w:val="en-US"/>
        </w:rPr>
      </w:pPr>
      <w:r>
        <w:rPr>
          <w:b/>
          <w:lang w:val="en-US"/>
        </w:rPr>
        <w:t>Fig</w:t>
      </w:r>
      <w:r w:rsidRPr="00A65A33">
        <w:rPr>
          <w:b/>
          <w:lang w:val="en-US"/>
        </w:rPr>
        <w:t xml:space="preserve"> </w:t>
      </w:r>
      <w:r w:rsidRPr="00A65A33">
        <w:rPr>
          <w:b/>
          <w:lang w:val="en-US"/>
        </w:rPr>
        <w:fldChar w:fldCharType="begin"/>
      </w:r>
      <w:r w:rsidRPr="00A65A33">
        <w:rPr>
          <w:b/>
          <w:lang w:val="en-US"/>
        </w:rPr>
        <w:instrText xml:space="preserve"> STYLEREF 1 \s </w:instrText>
      </w:r>
      <w:r w:rsidRPr="00A65A33">
        <w:rPr>
          <w:b/>
          <w:lang w:val="en-US"/>
        </w:rPr>
        <w:fldChar w:fldCharType="separate"/>
      </w:r>
      <w:r w:rsidRPr="00A65A33">
        <w:rPr>
          <w:b/>
          <w:lang w:val="en-US"/>
        </w:rPr>
        <w:fldChar w:fldCharType="end"/>
      </w:r>
      <w:r>
        <w:rPr>
          <w:b/>
          <w:lang w:val="en-US"/>
        </w:rPr>
        <w:t>4</w:t>
      </w:r>
      <w:r w:rsidRPr="00A65A33">
        <w:rPr>
          <w:b/>
          <w:lang w:val="en-US"/>
        </w:rPr>
        <w:t xml:space="preserve">. Event seen only in anti-sunward </w:t>
      </w:r>
      <w:proofErr w:type="spellStart"/>
      <w:r w:rsidRPr="00A65A33">
        <w:rPr>
          <w:b/>
          <w:lang w:val="en-US"/>
        </w:rPr>
        <w:t>telecscope</w:t>
      </w:r>
      <w:proofErr w:type="spellEnd"/>
      <w:r w:rsidRPr="00A65A33">
        <w:rPr>
          <w:b/>
          <w:lang w:val="en-US"/>
        </w:rPr>
        <w:t xml:space="preserve"> </w:t>
      </w:r>
      <w:proofErr w:type="gramStart"/>
      <w:r w:rsidRPr="00A65A33">
        <w:rPr>
          <w:b/>
          <w:lang w:val="en-US"/>
        </w:rPr>
        <w:t>on account</w:t>
      </w:r>
      <w:proofErr w:type="gramEnd"/>
      <w:r w:rsidRPr="00A65A33">
        <w:rPr>
          <w:b/>
          <w:lang w:val="en-US"/>
        </w:rPr>
        <w:t xml:space="preserve"> of non-standard Parker spiral angle</w:t>
      </w:r>
    </w:p>
    <w:p w:rsidR="00A65A33" w:rsidRPr="00A65A33" w:rsidRDefault="00A65A33" w:rsidP="00A65A33">
      <w:pPr>
        <w:spacing w:after="0" w:line="240" w:lineRule="auto"/>
        <w:rPr>
          <w:rFonts w:ascii="Calibri" w:eastAsia="Times New Roman" w:hAnsi="Calibri" w:cs="Times New Roman"/>
          <w:lang w:val="en-US" w:eastAsia="en-GB"/>
        </w:rPr>
      </w:pPr>
      <w:r w:rsidRPr="00A65A33">
        <w:rPr>
          <w:rFonts w:eastAsia="Times New Roman" w:cs="Times New Roman"/>
          <w:lang w:val="en-US" w:eastAsia="en-GB"/>
        </w:rPr>
        <w:t xml:space="preserve">In summary, to capture </w:t>
      </w:r>
      <w:proofErr w:type="gramStart"/>
      <w:r w:rsidRPr="00A65A33">
        <w:rPr>
          <w:rFonts w:eastAsia="Times New Roman" w:cs="Times New Roman"/>
          <w:lang w:val="en-US" w:eastAsia="en-GB"/>
        </w:rPr>
        <w:t>any and all</w:t>
      </w:r>
      <w:proofErr w:type="gramEnd"/>
      <w:r w:rsidRPr="00A65A33">
        <w:rPr>
          <w:rFonts w:eastAsia="Times New Roman" w:cs="Times New Roman"/>
          <w:lang w:val="en-US" w:eastAsia="en-GB"/>
        </w:rPr>
        <w:t xml:space="preserve"> SEP onsets, a 4Pi view is required, which is not possible for a MEPS-like instrument. The Kiel group have not yet done a statistical study from STEREO SEPT data as to how often a 1 unit MEPS would likely miss the onset, intensity and timing of an SEP onset, but this is the reason that we propose to continue to study both a 1 unit and a 2 unit MEPS instrument. </w:t>
      </w:r>
    </w:p>
    <w:p w:rsidR="00A65A33" w:rsidRPr="00A65A33" w:rsidRDefault="00A65A33" w:rsidP="00A65A33">
      <w:pPr>
        <w:spacing w:after="0" w:line="240" w:lineRule="auto"/>
        <w:rPr>
          <w:rFonts w:ascii="Calibri" w:eastAsia="Times New Roman" w:hAnsi="Calibri" w:cs="Times New Roman"/>
          <w:lang w:val="en-US" w:eastAsia="en-GB"/>
        </w:rPr>
      </w:pPr>
    </w:p>
    <w:p w:rsidR="00A65A33" w:rsidRPr="00A65A33" w:rsidRDefault="00A65A33" w:rsidP="00A65A33">
      <w:pPr>
        <w:spacing w:after="0" w:line="240" w:lineRule="auto"/>
        <w:rPr>
          <w:rFonts w:ascii="Calibri" w:eastAsia="Times New Roman" w:hAnsi="Calibri" w:cs="Times New Roman"/>
          <w:lang w:val="en-US" w:eastAsia="en-GB"/>
        </w:rPr>
      </w:pPr>
      <w:r>
        <w:rPr>
          <w:noProof/>
          <w:lang w:val="en-US"/>
        </w:rPr>
        <w:lastRenderedPageBreak/>
        <mc:AlternateContent>
          <mc:Choice Requires="wps">
            <w:drawing>
              <wp:anchor distT="0" distB="0" distL="0" distR="0" simplePos="0" relativeHeight="251659264" behindDoc="0" locked="0" layoutInCell="1" allowOverlap="1" wp14:anchorId="054CE175" wp14:editId="7171F90D">
                <wp:simplePos x="0" y="0"/>
                <wp:positionH relativeFrom="margin">
                  <wp:align>left</wp:align>
                </wp:positionH>
                <wp:positionV relativeFrom="paragraph">
                  <wp:posOffset>5080</wp:posOffset>
                </wp:positionV>
                <wp:extent cx="3781425" cy="3286125"/>
                <wp:effectExtent l="0" t="0" r="0" b="9525"/>
                <wp:wrapSquare wrapText="largest"/>
                <wp:docPr id="3" name="Frame2"/>
                <wp:cNvGraphicFramePr/>
                <a:graphic xmlns:a="http://schemas.openxmlformats.org/drawingml/2006/main">
                  <a:graphicData uri="http://schemas.microsoft.com/office/word/2010/wordprocessingShape">
                    <wps:wsp>
                      <wps:cNvSpPr/>
                      <wps:spPr>
                        <a:xfrm>
                          <a:off x="0" y="0"/>
                          <a:ext cx="3781425" cy="3286125"/>
                        </a:xfrm>
                        <a:prstGeom prst="rect">
                          <a:avLst/>
                        </a:prstGeom>
                        <a:noFill/>
                        <a:ln>
                          <a:noFill/>
                        </a:ln>
                      </wps:spPr>
                      <wps:style>
                        <a:lnRef idx="0">
                          <a:scrgbClr r="0" g="0" b="0"/>
                        </a:lnRef>
                        <a:fillRef idx="0">
                          <a:scrgbClr r="0" g="0" b="0"/>
                        </a:fillRef>
                        <a:effectRef idx="0">
                          <a:scrgbClr r="0" g="0" b="0"/>
                        </a:effectRef>
                        <a:fontRef idx="minor"/>
                      </wps:style>
                      <wps:txbx>
                        <w:txbxContent>
                          <w:p w:rsidR="00A65A33" w:rsidRDefault="00A65A33" w:rsidP="00A65A33">
                            <w:pPr>
                              <w:pStyle w:val="Illustration"/>
                              <w:spacing w:before="120" w:after="120"/>
                            </w:pPr>
                            <w:r>
                              <w:rPr>
                                <w:noProof/>
                                <w:lang w:val="en-US"/>
                              </w:rPr>
                              <w:drawing>
                                <wp:inline distT="0" distB="0" distL="0" distR="0" wp14:anchorId="35EE5F99" wp14:editId="14D64315">
                                  <wp:extent cx="3433465" cy="2571750"/>
                                  <wp:effectExtent l="0" t="0" r="0" b="0"/>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9"/>
                                          <a:stretch>
                                            <a:fillRect/>
                                          </a:stretch>
                                        </pic:blipFill>
                                        <pic:spPr bwMode="auto">
                                          <a:xfrm>
                                            <a:off x="0" y="0"/>
                                            <a:ext cx="3455228" cy="2588051"/>
                                          </a:xfrm>
                                          <a:prstGeom prst="rect">
                                            <a:avLst/>
                                          </a:prstGeom>
                                        </pic:spPr>
                                      </pic:pic>
                                    </a:graphicData>
                                  </a:graphic>
                                </wp:inline>
                              </w:drawing>
                            </w:r>
                            <w:r>
                              <w:br/>
                            </w:r>
                            <w:r>
                              <w:rPr>
                                <w:b/>
                                <w:i w:val="0"/>
                                <w:iCs w:val="0"/>
                                <w:color w:val="auto"/>
                                <w:sz w:val="22"/>
                                <w:szCs w:val="22"/>
                                <w:lang w:val="en-US"/>
                              </w:rPr>
                              <w:t>Fig</w:t>
                            </w:r>
                            <w:r w:rsidRPr="00A65A33">
                              <w:rPr>
                                <w:b/>
                                <w:i w:val="0"/>
                                <w:iCs w:val="0"/>
                                <w:color w:val="auto"/>
                                <w:sz w:val="22"/>
                                <w:szCs w:val="22"/>
                                <w:lang w:val="en-US"/>
                              </w:rPr>
                              <w:t xml:space="preserve"> </w:t>
                            </w:r>
                            <w:r>
                              <w:rPr>
                                <w:b/>
                                <w:i w:val="0"/>
                                <w:iCs w:val="0"/>
                                <w:color w:val="auto"/>
                                <w:sz w:val="22"/>
                                <w:szCs w:val="22"/>
                                <w:lang w:val="en-US"/>
                              </w:rPr>
                              <w:t>5</w:t>
                            </w:r>
                            <w:r w:rsidRPr="00A65A33">
                              <w:rPr>
                                <w:b/>
                                <w:i w:val="0"/>
                                <w:iCs w:val="0"/>
                                <w:color w:val="auto"/>
                                <w:sz w:val="22"/>
                                <w:szCs w:val="22"/>
                                <w:lang w:val="en-US"/>
                              </w:rPr>
                              <w:t xml:space="preserve">: Magnetic field vector with respect to the nominal Parker field direction for 2007 - 2017 using STEREO MAG data. Data are shown for </w:t>
                            </w:r>
                            <w:proofErr w:type="gramStart"/>
                            <w:r w:rsidRPr="00A65A33">
                              <w:rPr>
                                <w:b/>
                                <w:i w:val="0"/>
                                <w:iCs w:val="0"/>
                                <w:color w:val="auto"/>
                                <w:sz w:val="22"/>
                                <w:szCs w:val="22"/>
                                <w:lang w:val="en-US"/>
                              </w:rPr>
                              <w:t>1</w:t>
                            </w:r>
                            <w:proofErr w:type="gramEnd"/>
                            <w:r w:rsidRPr="00A65A33">
                              <w:rPr>
                                <w:b/>
                                <w:i w:val="0"/>
                                <w:iCs w:val="0"/>
                                <w:color w:val="auto"/>
                                <w:sz w:val="22"/>
                                <w:szCs w:val="22"/>
                                <w:lang w:val="en-US"/>
                              </w:rPr>
                              <w:t>, 10 and 60 minute averages.</w:t>
                            </w:r>
                          </w:p>
                        </w:txbxContent>
                      </wps:txbx>
                      <wps:bodyPr wrap="square" lIns="90000" tIns="45000" rIns="90000" bIns="45000">
                        <a:noAutofit/>
                      </wps:bodyPr>
                    </wps:wsp>
                  </a:graphicData>
                </a:graphic>
                <wp14:sizeRelH relativeFrom="margin">
                  <wp14:pctWidth>0</wp14:pctWidth>
                </wp14:sizeRelH>
                <wp14:sizeRelV relativeFrom="margin">
                  <wp14:pctHeight>0</wp14:pctHeight>
                </wp14:sizeRelV>
              </wp:anchor>
            </w:drawing>
          </mc:Choice>
          <mc:Fallback>
            <w:pict>
              <v:rect w14:anchorId="054CE175" id="Frame2" o:spid="_x0000_s1026" style="position:absolute;margin-left:0;margin-top:.4pt;width:297.75pt;height:258.7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" filled="f" stroked="f">
                <v:textbox inset="2.5mm,1.25mm,2.5mm,1.25mm">
                  <w:txbxContent>
                    <w:p w:rsidR="00A65A33" w:rsidRDefault="00A65A33" w:rsidP="00A65A33">
                      <w:pPr>
                        <w:pStyle w:val="Illustration"/>
                        <w:spacing w:before="120" w:after="120"/>
                      </w:pPr>
                      <w:r>
                        <w:rPr>
                          <w:noProof/>
                          <w:lang w:val="en-US"/>
                        </w:rPr>
                        <w:drawing>
                          <wp:inline distT="0" distB="0" distL="0" distR="0" wp14:anchorId="35EE5F99" wp14:editId="14D64315">
                            <wp:extent cx="3433465" cy="2571750"/>
                            <wp:effectExtent l="0" t="0" r="0" b="0"/>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9"/>
                                    <a:stretch>
                                      <a:fillRect/>
                                    </a:stretch>
                                  </pic:blipFill>
                                  <pic:spPr bwMode="auto">
                                    <a:xfrm>
                                      <a:off x="0" y="0"/>
                                      <a:ext cx="3455228" cy="2588051"/>
                                    </a:xfrm>
                                    <a:prstGeom prst="rect">
                                      <a:avLst/>
                                    </a:prstGeom>
                                  </pic:spPr>
                                </pic:pic>
                              </a:graphicData>
                            </a:graphic>
                          </wp:inline>
                        </w:drawing>
                      </w:r>
                      <w:r>
                        <w:br/>
                      </w:r>
                      <w:r>
                        <w:rPr>
                          <w:b/>
                          <w:i w:val="0"/>
                          <w:iCs w:val="0"/>
                          <w:color w:val="auto"/>
                          <w:sz w:val="22"/>
                          <w:szCs w:val="22"/>
                          <w:lang w:val="en-US"/>
                        </w:rPr>
                        <w:t>Fig</w:t>
                      </w:r>
                      <w:r w:rsidRPr="00A65A33">
                        <w:rPr>
                          <w:b/>
                          <w:i w:val="0"/>
                          <w:iCs w:val="0"/>
                          <w:color w:val="auto"/>
                          <w:sz w:val="22"/>
                          <w:szCs w:val="22"/>
                          <w:lang w:val="en-US"/>
                        </w:rPr>
                        <w:t xml:space="preserve"> </w:t>
                      </w:r>
                      <w:r>
                        <w:rPr>
                          <w:b/>
                          <w:i w:val="0"/>
                          <w:iCs w:val="0"/>
                          <w:color w:val="auto"/>
                          <w:sz w:val="22"/>
                          <w:szCs w:val="22"/>
                          <w:lang w:val="en-US"/>
                        </w:rPr>
                        <w:t>5</w:t>
                      </w:r>
                      <w:r w:rsidRPr="00A65A33">
                        <w:rPr>
                          <w:b/>
                          <w:i w:val="0"/>
                          <w:iCs w:val="0"/>
                          <w:color w:val="auto"/>
                          <w:sz w:val="22"/>
                          <w:szCs w:val="22"/>
                          <w:lang w:val="en-US"/>
                        </w:rPr>
                        <w:t xml:space="preserve">: Magnetic field vector with respect to the nominal Parker field direction for 2007 - 2017 using STEREO MAG data. Data are shown for </w:t>
                      </w:r>
                      <w:proofErr w:type="gramStart"/>
                      <w:r w:rsidRPr="00A65A33">
                        <w:rPr>
                          <w:b/>
                          <w:i w:val="0"/>
                          <w:iCs w:val="0"/>
                          <w:color w:val="auto"/>
                          <w:sz w:val="22"/>
                          <w:szCs w:val="22"/>
                          <w:lang w:val="en-US"/>
                        </w:rPr>
                        <w:t>1</w:t>
                      </w:r>
                      <w:proofErr w:type="gramEnd"/>
                      <w:r w:rsidRPr="00A65A33">
                        <w:rPr>
                          <w:b/>
                          <w:i w:val="0"/>
                          <w:iCs w:val="0"/>
                          <w:color w:val="auto"/>
                          <w:sz w:val="22"/>
                          <w:szCs w:val="22"/>
                          <w:lang w:val="en-US"/>
                        </w:rPr>
                        <w:t>, 10 and 60 minute averages.</w:t>
                      </w:r>
                    </w:p>
                  </w:txbxContent>
                </v:textbox>
                <w10:wrap type="square" side="largest" anchorx="margin"/>
              </v:rect>
            </w:pict>
          </mc:Fallback>
        </mc:AlternateContent>
      </w:r>
      <w:r w:rsidRPr="00A65A33">
        <w:rPr>
          <w:rFonts w:eastAsia="Times New Roman" w:cs="Times New Roman"/>
          <w:lang w:val="en-US" w:eastAsia="en-GB"/>
        </w:rPr>
        <w:t xml:space="preserve">Figure </w:t>
      </w:r>
      <w:r w:rsidR="006B25AD">
        <w:rPr>
          <w:rFonts w:eastAsia="Times New Roman" w:cs="Times New Roman"/>
          <w:lang w:val="en-US" w:eastAsia="en-GB"/>
        </w:rPr>
        <w:t>5</w:t>
      </w:r>
      <w:r w:rsidRPr="00A65A33">
        <w:rPr>
          <w:rFonts w:eastAsia="Times New Roman" w:cs="Times New Roman"/>
          <w:lang w:val="en-US" w:eastAsia="en-GB"/>
        </w:rPr>
        <w:t xml:space="preserve"> illustrates this quite clearly. We have taken 1, 10, and 60 minute averages of the STEREO-A MAG measurements of the IMF from 2007 – 2017 and plotted the angle of the measured IMF with respect to the nominal Parker direction (here assumed to be 45° from the Sun-STEREO line). The top panel shows a histogram of the angular distribution; the bottom panel shows the cumulative distribution. This, for a telescope opening of 45 degrees (and thus a half-angle of 22.5 degrees), we see that the IMF falls inside the telescope opening less than 20% of the time, depending on the IMF average used. </w:t>
      </w:r>
    </w:p>
    <w:p w:rsidR="00A65A33" w:rsidRPr="00A65A33" w:rsidRDefault="00A65A33" w:rsidP="00A65A33">
      <w:pPr>
        <w:spacing w:after="0" w:line="240" w:lineRule="auto"/>
        <w:rPr>
          <w:rFonts w:ascii="Calibri" w:eastAsia="Times New Roman" w:hAnsi="Calibri" w:cs="Times New Roman"/>
          <w:lang w:val="en-US" w:eastAsia="en-GB"/>
        </w:rPr>
      </w:pPr>
    </w:p>
    <w:p w:rsidR="00A65A33" w:rsidRDefault="00A65A33" w:rsidP="00A65A33">
      <w:pPr>
        <w:spacing w:after="0" w:line="240" w:lineRule="auto"/>
        <w:rPr>
          <w:rFonts w:eastAsia="Times New Roman" w:cs="Times New Roman"/>
          <w:lang w:val="en-US" w:eastAsia="en-GB"/>
        </w:rPr>
      </w:pPr>
      <w:r w:rsidRPr="00A65A33">
        <w:rPr>
          <w:rFonts w:eastAsia="Times New Roman" w:cs="Times New Roman"/>
          <w:lang w:val="en-US" w:eastAsia="en-GB"/>
        </w:rPr>
        <w:t xml:space="preserve">A more detailed description of the study </w:t>
      </w:r>
      <w:proofErr w:type="gramStart"/>
      <w:r w:rsidRPr="00A65A33">
        <w:rPr>
          <w:rFonts w:eastAsia="Times New Roman" w:cs="Times New Roman"/>
          <w:lang w:val="en-US" w:eastAsia="en-GB"/>
        </w:rPr>
        <w:t>is given</w:t>
      </w:r>
      <w:proofErr w:type="gramEnd"/>
      <w:r w:rsidRPr="00A65A33">
        <w:rPr>
          <w:rFonts w:eastAsia="Times New Roman" w:cs="Times New Roman"/>
          <w:lang w:val="en-US" w:eastAsia="en-GB"/>
        </w:rPr>
        <w:t xml:space="preserve"> in the </w:t>
      </w:r>
      <w:proofErr w:type="spellStart"/>
      <w:r w:rsidRPr="00A65A33">
        <w:rPr>
          <w:rFonts w:eastAsia="Times New Roman" w:cs="Times New Roman"/>
          <w:lang w:val="en-US" w:eastAsia="en-GB"/>
        </w:rPr>
        <w:t>ppt</w:t>
      </w:r>
      <w:proofErr w:type="spellEnd"/>
      <w:r w:rsidRPr="00A65A33">
        <w:rPr>
          <w:rFonts w:eastAsia="Times New Roman" w:cs="Times New Roman"/>
          <w:lang w:val="en-US" w:eastAsia="en-GB"/>
        </w:rPr>
        <w:t xml:space="preserve"> presentation attached, but the summary is given in the following table.  Table 1 gives the fraction of time during which a 40° wide particle event </w:t>
      </w:r>
      <w:proofErr w:type="gramStart"/>
      <w:r w:rsidRPr="00A65A33">
        <w:rPr>
          <w:rFonts w:eastAsia="Times New Roman" w:cs="Times New Roman"/>
          <w:lang w:val="en-US" w:eastAsia="en-GB"/>
        </w:rPr>
        <w:t>would be seen</w:t>
      </w:r>
      <w:proofErr w:type="gramEnd"/>
      <w:r w:rsidRPr="00A65A33">
        <w:rPr>
          <w:rFonts w:eastAsia="Times New Roman" w:cs="Times New Roman"/>
          <w:lang w:val="en-US" w:eastAsia="en-GB"/>
        </w:rPr>
        <w:t xml:space="preserve"> in the individual forward-backward-looking MEPS telescopes:</w:t>
      </w:r>
    </w:p>
    <w:p w:rsidR="006B25AD" w:rsidRPr="00A65A33" w:rsidRDefault="006B25AD" w:rsidP="00A65A33">
      <w:pPr>
        <w:spacing w:after="0" w:line="240" w:lineRule="auto"/>
        <w:rPr>
          <w:rFonts w:ascii="Calibri" w:eastAsia="Times New Roman" w:hAnsi="Calibri" w:cs="Times New Roman"/>
          <w:lang w:val="en-US" w:eastAsia="en-GB"/>
        </w:rPr>
      </w:pPr>
    </w:p>
    <w:tbl>
      <w:tblPr>
        <w:tblW w:w="9026"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2257"/>
        <w:gridCol w:w="2257"/>
        <w:gridCol w:w="2256"/>
        <w:gridCol w:w="2256"/>
      </w:tblGrid>
      <w:tr w:rsidR="00A65A33" w:rsidRPr="00F61336" w:rsidTr="00D87997">
        <w:tc>
          <w:tcPr>
            <w:tcW w:w="2256" w:type="dxa"/>
            <w:tcBorders>
              <w:top w:val="single" w:sz="2" w:space="0" w:color="000001"/>
              <w:left w:val="single" w:sz="2" w:space="0" w:color="000001"/>
              <w:bottom w:val="single" w:sz="2" w:space="0" w:color="000001"/>
            </w:tcBorders>
            <w:shd w:val="clear" w:color="auto" w:fill="auto"/>
            <w:tcMar>
              <w:left w:w="51" w:type="dxa"/>
            </w:tcMar>
          </w:tcPr>
          <w:p w:rsidR="00A65A33" w:rsidRPr="00F61336" w:rsidRDefault="00A65A33" w:rsidP="00D87997">
            <w:pPr>
              <w:pStyle w:val="TableContents"/>
              <w:rPr>
                <w:rFonts w:ascii="Calibri" w:eastAsia="Times New Roman" w:hAnsi="Calibri" w:cs="Times New Roman"/>
                <w:b/>
              </w:rPr>
            </w:pPr>
            <w:r w:rsidRPr="00F61336">
              <w:rPr>
                <w:rFonts w:eastAsia="Times New Roman" w:cs="Times New Roman"/>
                <w:b/>
              </w:rPr>
              <w:t>Telescope</w:t>
            </w:r>
          </w:p>
        </w:tc>
        <w:tc>
          <w:tcPr>
            <w:tcW w:w="2257" w:type="dxa"/>
            <w:tcBorders>
              <w:top w:val="single" w:sz="2" w:space="0" w:color="000001"/>
              <w:left w:val="single" w:sz="2" w:space="0" w:color="000001"/>
              <w:bottom w:val="single" w:sz="2" w:space="0" w:color="000001"/>
            </w:tcBorders>
            <w:shd w:val="clear" w:color="auto" w:fill="auto"/>
            <w:tcMar>
              <w:left w:w="51" w:type="dxa"/>
            </w:tcMar>
          </w:tcPr>
          <w:p w:rsidR="00A65A33" w:rsidRPr="00F61336" w:rsidRDefault="00A65A33" w:rsidP="00D87997">
            <w:pPr>
              <w:pStyle w:val="TableContents"/>
              <w:rPr>
                <w:rFonts w:ascii="Calibri" w:eastAsia="Times New Roman" w:hAnsi="Calibri" w:cs="Times New Roman"/>
                <w:b/>
              </w:rPr>
            </w:pPr>
            <w:r w:rsidRPr="00F61336">
              <w:rPr>
                <w:rFonts w:eastAsia="Times New Roman" w:cs="Times New Roman"/>
                <w:b/>
              </w:rPr>
              <w:t>1 min data</w:t>
            </w:r>
          </w:p>
        </w:tc>
        <w:tc>
          <w:tcPr>
            <w:tcW w:w="2256" w:type="dxa"/>
            <w:tcBorders>
              <w:top w:val="single" w:sz="2" w:space="0" w:color="000001"/>
              <w:left w:val="single" w:sz="2" w:space="0" w:color="000001"/>
              <w:bottom w:val="single" w:sz="2" w:space="0" w:color="000001"/>
            </w:tcBorders>
            <w:shd w:val="clear" w:color="auto" w:fill="auto"/>
            <w:tcMar>
              <w:left w:w="51" w:type="dxa"/>
            </w:tcMar>
          </w:tcPr>
          <w:p w:rsidR="00A65A33" w:rsidRPr="00F61336" w:rsidRDefault="00A65A33" w:rsidP="00D87997">
            <w:pPr>
              <w:pStyle w:val="TableContents"/>
              <w:rPr>
                <w:rFonts w:ascii="Calibri" w:eastAsia="Times New Roman" w:hAnsi="Calibri" w:cs="Times New Roman"/>
                <w:b/>
              </w:rPr>
            </w:pPr>
            <w:r w:rsidRPr="00F61336">
              <w:rPr>
                <w:rFonts w:eastAsia="Times New Roman" w:cs="Times New Roman"/>
                <w:b/>
              </w:rPr>
              <w:t>10 min data</w:t>
            </w:r>
          </w:p>
        </w:tc>
        <w:tc>
          <w:tcPr>
            <w:tcW w:w="225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A65A33" w:rsidRPr="00F61336" w:rsidRDefault="00A65A33" w:rsidP="00D87997">
            <w:pPr>
              <w:pStyle w:val="TableContents"/>
              <w:rPr>
                <w:rFonts w:ascii="Calibri" w:eastAsia="Times New Roman" w:hAnsi="Calibri" w:cs="Times New Roman"/>
                <w:b/>
              </w:rPr>
            </w:pPr>
            <w:r w:rsidRPr="00F61336">
              <w:rPr>
                <w:rFonts w:eastAsia="Times New Roman" w:cs="Times New Roman"/>
                <w:b/>
              </w:rPr>
              <w:t>60 min data</w:t>
            </w:r>
          </w:p>
        </w:tc>
      </w:tr>
      <w:tr w:rsidR="00A65A33" w:rsidTr="00D87997">
        <w:tc>
          <w:tcPr>
            <w:tcW w:w="2256" w:type="dxa"/>
            <w:tcBorders>
              <w:top w:val="single" w:sz="2" w:space="0" w:color="000001"/>
              <w:left w:val="single" w:sz="2" w:space="0" w:color="000001"/>
              <w:bottom w:val="single" w:sz="2" w:space="0" w:color="000001"/>
            </w:tcBorders>
            <w:shd w:val="clear" w:color="auto" w:fill="auto"/>
            <w:tcMar>
              <w:left w:w="51" w:type="dxa"/>
            </w:tcMar>
          </w:tcPr>
          <w:p w:rsidR="00A65A33" w:rsidRDefault="00A65A33" w:rsidP="00D87997">
            <w:pPr>
              <w:pStyle w:val="TableContents"/>
              <w:rPr>
                <w:rFonts w:ascii="Calibri" w:eastAsia="Times New Roman" w:hAnsi="Calibri" w:cs="Times New Roman"/>
              </w:rPr>
            </w:pPr>
            <w:r>
              <w:rPr>
                <w:rFonts w:eastAsia="Times New Roman" w:cs="Times New Roman"/>
              </w:rPr>
              <w:t>T1</w:t>
            </w:r>
          </w:p>
        </w:tc>
        <w:tc>
          <w:tcPr>
            <w:tcW w:w="2257" w:type="dxa"/>
            <w:tcBorders>
              <w:top w:val="single" w:sz="2" w:space="0" w:color="000001"/>
              <w:left w:val="single" w:sz="2" w:space="0" w:color="000001"/>
              <w:bottom w:val="single" w:sz="2" w:space="0" w:color="000001"/>
            </w:tcBorders>
            <w:shd w:val="clear" w:color="auto" w:fill="auto"/>
            <w:tcMar>
              <w:left w:w="51" w:type="dxa"/>
            </w:tcMar>
          </w:tcPr>
          <w:p w:rsidR="00A65A33" w:rsidRDefault="00A65A33" w:rsidP="00D87997">
            <w:pPr>
              <w:pStyle w:val="TableContents"/>
              <w:rPr>
                <w:rFonts w:ascii="Calibri" w:eastAsia="Times New Roman" w:hAnsi="Calibri" w:cs="Times New Roman"/>
              </w:rPr>
            </w:pPr>
            <w:r>
              <w:rPr>
                <w:rFonts w:eastAsia="Times New Roman" w:cs="Times New Roman"/>
              </w:rPr>
              <w:t>50%</w:t>
            </w:r>
          </w:p>
        </w:tc>
        <w:tc>
          <w:tcPr>
            <w:tcW w:w="2256" w:type="dxa"/>
            <w:tcBorders>
              <w:top w:val="single" w:sz="2" w:space="0" w:color="000001"/>
              <w:left w:val="single" w:sz="2" w:space="0" w:color="000001"/>
              <w:bottom w:val="single" w:sz="2" w:space="0" w:color="000001"/>
            </w:tcBorders>
            <w:shd w:val="clear" w:color="auto" w:fill="auto"/>
            <w:tcMar>
              <w:left w:w="51" w:type="dxa"/>
            </w:tcMar>
          </w:tcPr>
          <w:p w:rsidR="00A65A33" w:rsidRDefault="00A65A33" w:rsidP="00D87997">
            <w:pPr>
              <w:pStyle w:val="TableContents"/>
              <w:rPr>
                <w:rFonts w:ascii="Calibri" w:eastAsia="Times New Roman" w:hAnsi="Calibri" w:cs="Times New Roman"/>
              </w:rPr>
            </w:pPr>
            <w:r>
              <w:rPr>
                <w:rFonts w:eastAsia="Times New Roman" w:cs="Times New Roman"/>
              </w:rPr>
              <w:t>46%</w:t>
            </w:r>
          </w:p>
        </w:tc>
        <w:tc>
          <w:tcPr>
            <w:tcW w:w="225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A65A33" w:rsidRDefault="00A65A33" w:rsidP="00D87997">
            <w:pPr>
              <w:pStyle w:val="TableContents"/>
              <w:rPr>
                <w:rFonts w:ascii="Calibri" w:eastAsia="Times New Roman" w:hAnsi="Calibri" w:cs="Times New Roman"/>
              </w:rPr>
            </w:pPr>
            <w:r>
              <w:rPr>
                <w:rFonts w:eastAsia="Times New Roman" w:cs="Times New Roman"/>
              </w:rPr>
              <w:t>40%</w:t>
            </w:r>
          </w:p>
        </w:tc>
      </w:tr>
      <w:tr w:rsidR="00A65A33" w:rsidTr="00D87997">
        <w:tc>
          <w:tcPr>
            <w:tcW w:w="2256" w:type="dxa"/>
            <w:tcBorders>
              <w:top w:val="single" w:sz="2" w:space="0" w:color="000001"/>
              <w:left w:val="single" w:sz="2" w:space="0" w:color="000001"/>
              <w:bottom w:val="single" w:sz="2" w:space="0" w:color="000001"/>
            </w:tcBorders>
            <w:shd w:val="clear" w:color="auto" w:fill="auto"/>
            <w:tcMar>
              <w:left w:w="51" w:type="dxa"/>
            </w:tcMar>
          </w:tcPr>
          <w:p w:rsidR="00A65A33" w:rsidRDefault="00A65A33" w:rsidP="00D87997">
            <w:pPr>
              <w:pStyle w:val="TableContents"/>
              <w:rPr>
                <w:rFonts w:ascii="Calibri" w:eastAsia="Times New Roman" w:hAnsi="Calibri" w:cs="Times New Roman"/>
              </w:rPr>
            </w:pPr>
            <w:r>
              <w:rPr>
                <w:rFonts w:eastAsia="Times New Roman" w:cs="Times New Roman"/>
              </w:rPr>
              <w:t>T2</w:t>
            </w:r>
          </w:p>
        </w:tc>
        <w:tc>
          <w:tcPr>
            <w:tcW w:w="2257" w:type="dxa"/>
            <w:tcBorders>
              <w:top w:val="single" w:sz="2" w:space="0" w:color="000001"/>
              <w:left w:val="single" w:sz="2" w:space="0" w:color="000001"/>
              <w:bottom w:val="single" w:sz="2" w:space="0" w:color="000001"/>
            </w:tcBorders>
            <w:shd w:val="clear" w:color="auto" w:fill="auto"/>
            <w:tcMar>
              <w:left w:w="51" w:type="dxa"/>
            </w:tcMar>
          </w:tcPr>
          <w:p w:rsidR="00A65A33" w:rsidRDefault="00A65A33" w:rsidP="00D87997">
            <w:pPr>
              <w:pStyle w:val="TableContents"/>
              <w:rPr>
                <w:rFonts w:ascii="Calibri" w:eastAsia="Times New Roman" w:hAnsi="Calibri" w:cs="Times New Roman"/>
              </w:rPr>
            </w:pPr>
            <w:r>
              <w:rPr>
                <w:rFonts w:eastAsia="Times New Roman" w:cs="Times New Roman"/>
              </w:rPr>
              <w:t>23%</w:t>
            </w:r>
          </w:p>
        </w:tc>
        <w:tc>
          <w:tcPr>
            <w:tcW w:w="2256" w:type="dxa"/>
            <w:tcBorders>
              <w:top w:val="single" w:sz="2" w:space="0" w:color="000001"/>
              <w:left w:val="single" w:sz="2" w:space="0" w:color="000001"/>
              <w:bottom w:val="single" w:sz="2" w:space="0" w:color="000001"/>
            </w:tcBorders>
            <w:shd w:val="clear" w:color="auto" w:fill="auto"/>
            <w:tcMar>
              <w:left w:w="51" w:type="dxa"/>
            </w:tcMar>
          </w:tcPr>
          <w:p w:rsidR="00A65A33" w:rsidRDefault="00A65A33" w:rsidP="00D87997">
            <w:pPr>
              <w:pStyle w:val="TableContents"/>
              <w:rPr>
                <w:rFonts w:ascii="Calibri" w:eastAsia="Times New Roman" w:hAnsi="Calibri" w:cs="Times New Roman"/>
              </w:rPr>
            </w:pPr>
            <w:r>
              <w:rPr>
                <w:rFonts w:eastAsia="Times New Roman" w:cs="Times New Roman"/>
              </w:rPr>
              <w:t>18%</w:t>
            </w:r>
          </w:p>
        </w:tc>
        <w:tc>
          <w:tcPr>
            <w:tcW w:w="225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A65A33" w:rsidRDefault="00A65A33" w:rsidP="00D87997">
            <w:pPr>
              <w:pStyle w:val="TableContents"/>
              <w:rPr>
                <w:rFonts w:ascii="Calibri" w:eastAsia="Times New Roman" w:hAnsi="Calibri" w:cs="Times New Roman"/>
              </w:rPr>
            </w:pPr>
            <w:r>
              <w:rPr>
                <w:rFonts w:eastAsia="Times New Roman" w:cs="Times New Roman"/>
              </w:rPr>
              <w:t>11%</w:t>
            </w:r>
          </w:p>
        </w:tc>
      </w:tr>
      <w:tr w:rsidR="00A65A33" w:rsidTr="00D87997">
        <w:tc>
          <w:tcPr>
            <w:tcW w:w="2256" w:type="dxa"/>
            <w:tcBorders>
              <w:top w:val="single" w:sz="2" w:space="0" w:color="000001"/>
              <w:left w:val="single" w:sz="2" w:space="0" w:color="000001"/>
              <w:bottom w:val="single" w:sz="2" w:space="0" w:color="000001"/>
            </w:tcBorders>
            <w:shd w:val="clear" w:color="auto" w:fill="auto"/>
            <w:tcMar>
              <w:left w:w="51" w:type="dxa"/>
            </w:tcMar>
          </w:tcPr>
          <w:p w:rsidR="00A65A33" w:rsidRDefault="00A65A33" w:rsidP="00D87997">
            <w:pPr>
              <w:pStyle w:val="TableContents"/>
              <w:rPr>
                <w:rFonts w:ascii="Calibri" w:eastAsia="Times New Roman" w:hAnsi="Calibri" w:cs="Times New Roman"/>
              </w:rPr>
            </w:pPr>
            <w:r>
              <w:rPr>
                <w:rFonts w:eastAsia="Times New Roman" w:cs="Times New Roman"/>
              </w:rPr>
              <w:t>T3</w:t>
            </w:r>
          </w:p>
        </w:tc>
        <w:tc>
          <w:tcPr>
            <w:tcW w:w="2257" w:type="dxa"/>
            <w:tcBorders>
              <w:top w:val="single" w:sz="2" w:space="0" w:color="000001"/>
              <w:left w:val="single" w:sz="2" w:space="0" w:color="000001"/>
              <w:bottom w:val="single" w:sz="2" w:space="0" w:color="000001"/>
            </w:tcBorders>
            <w:shd w:val="clear" w:color="auto" w:fill="auto"/>
            <w:tcMar>
              <w:left w:w="51" w:type="dxa"/>
            </w:tcMar>
          </w:tcPr>
          <w:p w:rsidR="00A65A33" w:rsidRDefault="00A65A33" w:rsidP="00D87997">
            <w:pPr>
              <w:pStyle w:val="TableContents"/>
              <w:rPr>
                <w:rFonts w:ascii="Calibri" w:eastAsia="Times New Roman" w:hAnsi="Calibri" w:cs="Times New Roman"/>
              </w:rPr>
            </w:pPr>
            <w:r>
              <w:rPr>
                <w:rFonts w:eastAsia="Times New Roman" w:cs="Times New Roman"/>
              </w:rPr>
              <w:t>50%</w:t>
            </w:r>
          </w:p>
        </w:tc>
        <w:tc>
          <w:tcPr>
            <w:tcW w:w="2256" w:type="dxa"/>
            <w:tcBorders>
              <w:top w:val="single" w:sz="2" w:space="0" w:color="000001"/>
              <w:left w:val="single" w:sz="2" w:space="0" w:color="000001"/>
              <w:bottom w:val="single" w:sz="2" w:space="0" w:color="000001"/>
            </w:tcBorders>
            <w:shd w:val="clear" w:color="auto" w:fill="auto"/>
            <w:tcMar>
              <w:left w:w="51" w:type="dxa"/>
            </w:tcMar>
          </w:tcPr>
          <w:p w:rsidR="00A65A33" w:rsidRDefault="00A65A33" w:rsidP="00D87997">
            <w:pPr>
              <w:pStyle w:val="TableContents"/>
              <w:rPr>
                <w:rFonts w:ascii="Calibri" w:eastAsia="Times New Roman" w:hAnsi="Calibri" w:cs="Times New Roman"/>
              </w:rPr>
            </w:pPr>
            <w:r>
              <w:rPr>
                <w:rFonts w:eastAsia="Times New Roman" w:cs="Times New Roman"/>
              </w:rPr>
              <w:t>46%</w:t>
            </w:r>
          </w:p>
        </w:tc>
        <w:tc>
          <w:tcPr>
            <w:tcW w:w="225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A65A33" w:rsidRDefault="00A65A33" w:rsidP="00D87997">
            <w:pPr>
              <w:pStyle w:val="TableContents"/>
              <w:rPr>
                <w:rFonts w:ascii="Calibri" w:eastAsia="Times New Roman" w:hAnsi="Calibri" w:cs="Times New Roman"/>
              </w:rPr>
            </w:pPr>
            <w:r>
              <w:rPr>
                <w:rFonts w:eastAsia="Times New Roman" w:cs="Times New Roman"/>
              </w:rPr>
              <w:t>40%</w:t>
            </w:r>
          </w:p>
        </w:tc>
      </w:tr>
      <w:tr w:rsidR="00A65A33" w:rsidTr="00D87997">
        <w:tc>
          <w:tcPr>
            <w:tcW w:w="2256" w:type="dxa"/>
            <w:tcBorders>
              <w:top w:val="single" w:sz="2" w:space="0" w:color="000001"/>
              <w:left w:val="single" w:sz="2" w:space="0" w:color="000001"/>
              <w:bottom w:val="single" w:sz="2" w:space="0" w:color="000001"/>
            </w:tcBorders>
            <w:shd w:val="clear" w:color="auto" w:fill="auto"/>
            <w:tcMar>
              <w:left w:w="51" w:type="dxa"/>
            </w:tcMar>
          </w:tcPr>
          <w:p w:rsidR="00A65A33" w:rsidRDefault="00A65A33" w:rsidP="00D87997">
            <w:pPr>
              <w:pStyle w:val="TableContents"/>
              <w:rPr>
                <w:rFonts w:ascii="Calibri" w:eastAsia="Times New Roman" w:hAnsi="Calibri" w:cs="Times New Roman"/>
              </w:rPr>
            </w:pPr>
            <w:r>
              <w:rPr>
                <w:rFonts w:eastAsia="Times New Roman" w:cs="Times New Roman"/>
              </w:rPr>
              <w:t>T4</w:t>
            </w:r>
          </w:p>
        </w:tc>
        <w:tc>
          <w:tcPr>
            <w:tcW w:w="2257" w:type="dxa"/>
            <w:tcBorders>
              <w:top w:val="single" w:sz="2" w:space="0" w:color="000001"/>
              <w:left w:val="single" w:sz="2" w:space="0" w:color="000001"/>
              <w:bottom w:val="single" w:sz="2" w:space="0" w:color="000001"/>
            </w:tcBorders>
            <w:shd w:val="clear" w:color="auto" w:fill="auto"/>
            <w:tcMar>
              <w:left w:w="51" w:type="dxa"/>
            </w:tcMar>
          </w:tcPr>
          <w:p w:rsidR="00A65A33" w:rsidRDefault="00A65A33" w:rsidP="00D87997">
            <w:pPr>
              <w:pStyle w:val="TableContents"/>
              <w:rPr>
                <w:rFonts w:ascii="Calibri" w:eastAsia="Times New Roman" w:hAnsi="Calibri" w:cs="Times New Roman"/>
              </w:rPr>
            </w:pPr>
            <w:r>
              <w:rPr>
                <w:rFonts w:eastAsia="Times New Roman" w:cs="Times New Roman"/>
              </w:rPr>
              <w:t>22%</w:t>
            </w:r>
          </w:p>
        </w:tc>
        <w:tc>
          <w:tcPr>
            <w:tcW w:w="2256" w:type="dxa"/>
            <w:tcBorders>
              <w:top w:val="single" w:sz="2" w:space="0" w:color="000001"/>
              <w:left w:val="single" w:sz="2" w:space="0" w:color="000001"/>
              <w:bottom w:val="single" w:sz="2" w:space="0" w:color="000001"/>
            </w:tcBorders>
            <w:shd w:val="clear" w:color="auto" w:fill="auto"/>
            <w:tcMar>
              <w:left w:w="51" w:type="dxa"/>
            </w:tcMar>
          </w:tcPr>
          <w:p w:rsidR="00A65A33" w:rsidRDefault="00A65A33" w:rsidP="00D87997">
            <w:pPr>
              <w:pStyle w:val="TableContents"/>
              <w:rPr>
                <w:rFonts w:ascii="Calibri" w:eastAsia="Times New Roman" w:hAnsi="Calibri" w:cs="Times New Roman"/>
              </w:rPr>
            </w:pPr>
            <w:r>
              <w:rPr>
                <w:rFonts w:eastAsia="Times New Roman" w:cs="Times New Roman"/>
              </w:rPr>
              <w:t>17%</w:t>
            </w:r>
          </w:p>
        </w:tc>
        <w:tc>
          <w:tcPr>
            <w:tcW w:w="225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A65A33" w:rsidRDefault="00A65A33" w:rsidP="00D87997">
            <w:pPr>
              <w:pStyle w:val="TableContents"/>
              <w:rPr>
                <w:rFonts w:ascii="Calibri" w:eastAsia="Times New Roman" w:hAnsi="Calibri" w:cs="Times New Roman"/>
              </w:rPr>
            </w:pPr>
            <w:r>
              <w:rPr>
                <w:rFonts w:eastAsia="Times New Roman" w:cs="Times New Roman"/>
              </w:rPr>
              <w:t>10%</w:t>
            </w:r>
          </w:p>
        </w:tc>
      </w:tr>
      <w:tr w:rsidR="00A65A33" w:rsidTr="00D87997">
        <w:tc>
          <w:tcPr>
            <w:tcW w:w="2256" w:type="dxa"/>
            <w:tcBorders>
              <w:top w:val="single" w:sz="2" w:space="0" w:color="000001"/>
              <w:left w:val="single" w:sz="2" w:space="0" w:color="000001"/>
              <w:bottom w:val="single" w:sz="2" w:space="0" w:color="000001"/>
            </w:tcBorders>
            <w:shd w:val="clear" w:color="auto" w:fill="auto"/>
            <w:tcMar>
              <w:left w:w="51" w:type="dxa"/>
            </w:tcMar>
          </w:tcPr>
          <w:p w:rsidR="00A65A33" w:rsidRDefault="00A65A33" w:rsidP="00D87997">
            <w:pPr>
              <w:pStyle w:val="TableContents"/>
              <w:rPr>
                <w:rFonts w:ascii="Calibri" w:eastAsia="Times New Roman" w:hAnsi="Calibri" w:cs="Times New Roman"/>
              </w:rPr>
            </w:pPr>
            <w:r>
              <w:rPr>
                <w:rFonts w:eastAsia="Times New Roman" w:cs="Times New Roman"/>
              </w:rPr>
              <w:t>T1 or T2 (1 MEPS unit)</w:t>
            </w:r>
          </w:p>
        </w:tc>
        <w:tc>
          <w:tcPr>
            <w:tcW w:w="2257" w:type="dxa"/>
            <w:tcBorders>
              <w:top w:val="single" w:sz="2" w:space="0" w:color="000001"/>
              <w:left w:val="single" w:sz="2" w:space="0" w:color="000001"/>
              <w:bottom w:val="single" w:sz="2" w:space="0" w:color="000001"/>
            </w:tcBorders>
            <w:shd w:val="clear" w:color="auto" w:fill="auto"/>
            <w:tcMar>
              <w:left w:w="51" w:type="dxa"/>
            </w:tcMar>
          </w:tcPr>
          <w:p w:rsidR="00A65A33" w:rsidRDefault="00A65A33" w:rsidP="00D87997">
            <w:pPr>
              <w:pStyle w:val="TableContents"/>
              <w:rPr>
                <w:rFonts w:ascii="Calibri" w:eastAsia="Times New Roman" w:hAnsi="Calibri" w:cs="Times New Roman"/>
              </w:rPr>
            </w:pPr>
            <w:r>
              <w:rPr>
                <w:rFonts w:eastAsia="Times New Roman" w:cs="Times New Roman"/>
              </w:rPr>
              <w:t>67%</w:t>
            </w:r>
          </w:p>
        </w:tc>
        <w:tc>
          <w:tcPr>
            <w:tcW w:w="2256" w:type="dxa"/>
            <w:tcBorders>
              <w:top w:val="single" w:sz="2" w:space="0" w:color="000001"/>
              <w:left w:val="single" w:sz="2" w:space="0" w:color="000001"/>
              <w:bottom w:val="single" w:sz="2" w:space="0" w:color="000001"/>
            </w:tcBorders>
            <w:shd w:val="clear" w:color="auto" w:fill="auto"/>
            <w:tcMar>
              <w:left w:w="51" w:type="dxa"/>
            </w:tcMar>
          </w:tcPr>
          <w:p w:rsidR="00A65A33" w:rsidRDefault="00A65A33" w:rsidP="00D87997">
            <w:pPr>
              <w:pStyle w:val="TableContents"/>
              <w:rPr>
                <w:rFonts w:ascii="Calibri" w:eastAsia="Times New Roman" w:hAnsi="Calibri" w:cs="Times New Roman"/>
              </w:rPr>
            </w:pPr>
            <w:r>
              <w:rPr>
                <w:rFonts w:eastAsia="Times New Roman" w:cs="Times New Roman"/>
              </w:rPr>
              <w:t>61%</w:t>
            </w:r>
          </w:p>
        </w:tc>
        <w:tc>
          <w:tcPr>
            <w:tcW w:w="225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A65A33" w:rsidRDefault="00A65A33" w:rsidP="00D87997">
            <w:pPr>
              <w:pStyle w:val="TableContents"/>
              <w:rPr>
                <w:rFonts w:ascii="Calibri" w:eastAsia="Times New Roman" w:hAnsi="Calibri" w:cs="Times New Roman"/>
              </w:rPr>
            </w:pPr>
            <w:r>
              <w:rPr>
                <w:rFonts w:eastAsia="Times New Roman" w:cs="Times New Roman"/>
              </w:rPr>
              <w:t>49%</w:t>
            </w:r>
          </w:p>
        </w:tc>
      </w:tr>
      <w:tr w:rsidR="00A65A33" w:rsidTr="00D87997">
        <w:tc>
          <w:tcPr>
            <w:tcW w:w="2256" w:type="dxa"/>
            <w:tcBorders>
              <w:top w:val="single" w:sz="2" w:space="0" w:color="000001"/>
              <w:left w:val="single" w:sz="2" w:space="0" w:color="000001"/>
              <w:bottom w:val="single" w:sz="2" w:space="0" w:color="000001"/>
            </w:tcBorders>
            <w:shd w:val="clear" w:color="auto" w:fill="auto"/>
            <w:tcMar>
              <w:left w:w="51" w:type="dxa"/>
            </w:tcMar>
          </w:tcPr>
          <w:p w:rsidR="00A65A33" w:rsidRDefault="00A65A33" w:rsidP="00D87997">
            <w:pPr>
              <w:pStyle w:val="TableContents"/>
              <w:rPr>
                <w:rFonts w:ascii="Calibri" w:eastAsia="Times New Roman" w:hAnsi="Calibri" w:cs="Times New Roman"/>
              </w:rPr>
            </w:pPr>
            <w:r>
              <w:rPr>
                <w:rFonts w:eastAsia="Times New Roman" w:cs="Times New Roman"/>
              </w:rPr>
              <w:t>T3 or T4 (1 MEPS unit)</w:t>
            </w:r>
          </w:p>
        </w:tc>
        <w:tc>
          <w:tcPr>
            <w:tcW w:w="2257" w:type="dxa"/>
            <w:tcBorders>
              <w:top w:val="single" w:sz="2" w:space="0" w:color="000001"/>
              <w:left w:val="single" w:sz="2" w:space="0" w:color="000001"/>
              <w:bottom w:val="single" w:sz="2" w:space="0" w:color="000001"/>
            </w:tcBorders>
            <w:shd w:val="clear" w:color="auto" w:fill="auto"/>
            <w:tcMar>
              <w:left w:w="51" w:type="dxa"/>
            </w:tcMar>
          </w:tcPr>
          <w:p w:rsidR="00A65A33" w:rsidRDefault="00A65A33" w:rsidP="00D87997">
            <w:pPr>
              <w:pStyle w:val="TableContents"/>
              <w:rPr>
                <w:rFonts w:ascii="Calibri" w:eastAsia="Times New Roman" w:hAnsi="Calibri" w:cs="Times New Roman"/>
              </w:rPr>
            </w:pPr>
            <w:r>
              <w:rPr>
                <w:rFonts w:eastAsia="Times New Roman" w:cs="Times New Roman"/>
              </w:rPr>
              <w:t>67%</w:t>
            </w:r>
          </w:p>
        </w:tc>
        <w:tc>
          <w:tcPr>
            <w:tcW w:w="2256" w:type="dxa"/>
            <w:tcBorders>
              <w:top w:val="single" w:sz="2" w:space="0" w:color="000001"/>
              <w:left w:val="single" w:sz="2" w:space="0" w:color="000001"/>
              <w:bottom w:val="single" w:sz="2" w:space="0" w:color="000001"/>
            </w:tcBorders>
            <w:shd w:val="clear" w:color="auto" w:fill="auto"/>
            <w:tcMar>
              <w:left w:w="51" w:type="dxa"/>
            </w:tcMar>
          </w:tcPr>
          <w:p w:rsidR="00A65A33" w:rsidRDefault="00A65A33" w:rsidP="00D87997">
            <w:pPr>
              <w:pStyle w:val="TableContents"/>
              <w:rPr>
                <w:rFonts w:ascii="Calibri" w:eastAsia="Times New Roman" w:hAnsi="Calibri" w:cs="Times New Roman"/>
              </w:rPr>
            </w:pPr>
            <w:r>
              <w:rPr>
                <w:rFonts w:eastAsia="Times New Roman" w:cs="Times New Roman"/>
              </w:rPr>
              <w:t>60%</w:t>
            </w:r>
          </w:p>
        </w:tc>
        <w:tc>
          <w:tcPr>
            <w:tcW w:w="225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A65A33" w:rsidRDefault="00A65A33" w:rsidP="00D87997">
            <w:pPr>
              <w:pStyle w:val="TableContents"/>
              <w:rPr>
                <w:rFonts w:ascii="Calibri" w:eastAsia="Times New Roman" w:hAnsi="Calibri" w:cs="Times New Roman"/>
              </w:rPr>
            </w:pPr>
            <w:r>
              <w:rPr>
                <w:rFonts w:eastAsia="Times New Roman" w:cs="Times New Roman"/>
              </w:rPr>
              <w:t>48%</w:t>
            </w:r>
          </w:p>
        </w:tc>
      </w:tr>
      <w:tr w:rsidR="00A65A33" w:rsidTr="00D87997">
        <w:tc>
          <w:tcPr>
            <w:tcW w:w="2256" w:type="dxa"/>
            <w:tcBorders>
              <w:top w:val="single" w:sz="2" w:space="0" w:color="000001"/>
              <w:left w:val="single" w:sz="2" w:space="0" w:color="000001"/>
              <w:bottom w:val="single" w:sz="2" w:space="0" w:color="000001"/>
            </w:tcBorders>
            <w:shd w:val="clear" w:color="auto" w:fill="auto"/>
            <w:tcMar>
              <w:left w:w="51" w:type="dxa"/>
            </w:tcMar>
          </w:tcPr>
          <w:p w:rsidR="00A65A33" w:rsidRDefault="00A65A33" w:rsidP="00D87997">
            <w:pPr>
              <w:pStyle w:val="TableContents"/>
              <w:rPr>
                <w:rFonts w:ascii="Calibri" w:eastAsia="Times New Roman" w:hAnsi="Calibri" w:cs="Times New Roman"/>
              </w:rPr>
            </w:pPr>
            <w:r>
              <w:rPr>
                <w:rFonts w:eastAsia="Times New Roman" w:cs="Times New Roman"/>
              </w:rPr>
              <w:t>In any of the 4 MEPS telescopes, T1, T2, T3, or T4</w:t>
            </w:r>
          </w:p>
        </w:tc>
        <w:tc>
          <w:tcPr>
            <w:tcW w:w="2257" w:type="dxa"/>
            <w:tcBorders>
              <w:top w:val="single" w:sz="2" w:space="0" w:color="000001"/>
              <w:left w:val="single" w:sz="2" w:space="0" w:color="000001"/>
              <w:bottom w:val="single" w:sz="2" w:space="0" w:color="000001"/>
            </w:tcBorders>
            <w:shd w:val="clear" w:color="auto" w:fill="auto"/>
            <w:tcMar>
              <w:left w:w="51" w:type="dxa"/>
            </w:tcMar>
          </w:tcPr>
          <w:p w:rsidR="00A65A33" w:rsidRDefault="00A65A33" w:rsidP="00D87997">
            <w:pPr>
              <w:pStyle w:val="TableContents"/>
              <w:rPr>
                <w:rFonts w:ascii="Calibri" w:eastAsia="Times New Roman" w:hAnsi="Calibri" w:cs="Times New Roman"/>
              </w:rPr>
            </w:pPr>
            <w:r>
              <w:rPr>
                <w:rFonts w:eastAsia="Times New Roman" w:cs="Times New Roman"/>
              </w:rPr>
              <w:t>86%</w:t>
            </w:r>
          </w:p>
        </w:tc>
        <w:tc>
          <w:tcPr>
            <w:tcW w:w="2256" w:type="dxa"/>
            <w:tcBorders>
              <w:top w:val="single" w:sz="2" w:space="0" w:color="000001"/>
              <w:left w:val="single" w:sz="2" w:space="0" w:color="000001"/>
              <w:bottom w:val="single" w:sz="2" w:space="0" w:color="000001"/>
            </w:tcBorders>
            <w:shd w:val="clear" w:color="auto" w:fill="auto"/>
            <w:tcMar>
              <w:left w:w="51" w:type="dxa"/>
            </w:tcMar>
          </w:tcPr>
          <w:p w:rsidR="00A65A33" w:rsidRDefault="00A65A33" w:rsidP="00D87997">
            <w:pPr>
              <w:pStyle w:val="TableContents"/>
              <w:rPr>
                <w:rFonts w:ascii="Calibri" w:eastAsia="Times New Roman" w:hAnsi="Calibri" w:cs="Times New Roman"/>
              </w:rPr>
            </w:pPr>
            <w:r>
              <w:rPr>
                <w:rFonts w:eastAsia="Times New Roman" w:cs="Times New Roman"/>
              </w:rPr>
              <w:t>77%</w:t>
            </w:r>
          </w:p>
        </w:tc>
        <w:tc>
          <w:tcPr>
            <w:tcW w:w="225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A65A33" w:rsidRDefault="00A65A33" w:rsidP="00D87997">
            <w:pPr>
              <w:pStyle w:val="TableContents"/>
              <w:keepNext/>
              <w:rPr>
                <w:rFonts w:ascii="Calibri" w:eastAsia="Times New Roman" w:hAnsi="Calibri" w:cs="Times New Roman"/>
              </w:rPr>
            </w:pPr>
            <w:r>
              <w:rPr>
                <w:rFonts w:eastAsia="Times New Roman" w:cs="Times New Roman"/>
              </w:rPr>
              <w:t>60%</w:t>
            </w:r>
          </w:p>
        </w:tc>
      </w:tr>
    </w:tbl>
    <w:p w:rsidR="00A65A33" w:rsidRPr="001B3354" w:rsidRDefault="00A65A33" w:rsidP="001B3354">
      <w:pPr>
        <w:pStyle w:val="Illustration"/>
        <w:spacing w:before="120" w:after="120"/>
        <w:rPr>
          <w:b/>
          <w:i w:val="0"/>
          <w:iCs w:val="0"/>
          <w:color w:val="auto"/>
          <w:sz w:val="22"/>
          <w:szCs w:val="22"/>
          <w:lang w:val="en-US"/>
        </w:rPr>
      </w:pPr>
      <w:r w:rsidRPr="001B3354">
        <w:rPr>
          <w:b/>
          <w:i w:val="0"/>
          <w:iCs w:val="0"/>
          <w:color w:val="auto"/>
          <w:sz w:val="22"/>
          <w:szCs w:val="22"/>
          <w:lang w:val="en-US"/>
        </w:rPr>
        <w:t xml:space="preserve">Table </w:t>
      </w:r>
      <w:r w:rsidRPr="001B3354">
        <w:rPr>
          <w:b/>
          <w:i w:val="0"/>
          <w:iCs w:val="0"/>
          <w:color w:val="auto"/>
          <w:sz w:val="22"/>
          <w:szCs w:val="22"/>
          <w:lang w:val="en-US"/>
        </w:rPr>
        <w:fldChar w:fldCharType="begin"/>
      </w:r>
      <w:r w:rsidRPr="001B3354">
        <w:rPr>
          <w:b/>
          <w:i w:val="0"/>
          <w:iCs w:val="0"/>
          <w:color w:val="auto"/>
          <w:sz w:val="22"/>
          <w:szCs w:val="22"/>
          <w:lang w:val="en-US"/>
        </w:rPr>
        <w:instrText xml:space="preserve"> SEQ Table \* ARABIC \s 1 </w:instrText>
      </w:r>
      <w:r w:rsidRPr="001B3354">
        <w:rPr>
          <w:b/>
          <w:i w:val="0"/>
          <w:iCs w:val="0"/>
          <w:color w:val="auto"/>
          <w:sz w:val="22"/>
          <w:szCs w:val="22"/>
          <w:lang w:val="en-US"/>
        </w:rPr>
        <w:fldChar w:fldCharType="separate"/>
      </w:r>
      <w:r w:rsidRPr="001B3354">
        <w:rPr>
          <w:b/>
          <w:i w:val="0"/>
          <w:iCs w:val="0"/>
          <w:color w:val="auto"/>
          <w:sz w:val="22"/>
          <w:szCs w:val="22"/>
          <w:lang w:val="en-US"/>
        </w:rPr>
        <w:t>1</w:t>
      </w:r>
      <w:r w:rsidRPr="001B3354">
        <w:rPr>
          <w:b/>
          <w:i w:val="0"/>
          <w:iCs w:val="0"/>
          <w:color w:val="auto"/>
          <w:sz w:val="22"/>
          <w:szCs w:val="22"/>
          <w:lang w:val="en-US"/>
        </w:rPr>
        <w:fldChar w:fldCharType="end"/>
      </w:r>
      <w:r w:rsidRPr="001B3354">
        <w:rPr>
          <w:b/>
          <w:i w:val="0"/>
          <w:iCs w:val="0"/>
          <w:color w:val="auto"/>
          <w:sz w:val="22"/>
          <w:szCs w:val="22"/>
          <w:lang w:val="en-US"/>
        </w:rPr>
        <w:t xml:space="preserve">. The fraction of time during which a representative </w:t>
      </w:r>
      <w:proofErr w:type="gramStart"/>
      <w:r w:rsidRPr="001B3354">
        <w:rPr>
          <w:b/>
          <w:i w:val="0"/>
          <w:iCs w:val="0"/>
          <w:color w:val="auto"/>
          <w:sz w:val="22"/>
          <w:szCs w:val="22"/>
          <w:lang w:val="en-US"/>
        </w:rPr>
        <w:t>40 degree</w:t>
      </w:r>
      <w:proofErr w:type="gramEnd"/>
      <w:r w:rsidRPr="001B3354">
        <w:rPr>
          <w:b/>
          <w:i w:val="0"/>
          <w:iCs w:val="0"/>
          <w:color w:val="auto"/>
          <w:sz w:val="22"/>
          <w:szCs w:val="22"/>
          <w:lang w:val="en-US"/>
        </w:rPr>
        <w:t xml:space="preserve"> wide particle event would be seen in different MEPS unit configurations.</w:t>
      </w:r>
    </w:p>
    <w:p w:rsidR="00A65A33" w:rsidRPr="00A65A33" w:rsidRDefault="00A65A33" w:rsidP="00A65A33">
      <w:pPr>
        <w:rPr>
          <w:rFonts w:ascii="Calibri" w:eastAsia="Times New Roman" w:hAnsi="Calibri" w:cs="Times New Roman"/>
          <w:lang w:val="en-US" w:eastAsia="en-GB"/>
        </w:rPr>
      </w:pPr>
    </w:p>
    <w:p w:rsidR="00A65A33" w:rsidRPr="00A65A33" w:rsidRDefault="00A65A33" w:rsidP="00A65A33">
      <w:pPr>
        <w:rPr>
          <w:lang w:val="en-US"/>
        </w:rPr>
      </w:pPr>
    </w:p>
    <w:p w:rsidR="005B1AA2" w:rsidRDefault="005B1AA2" w:rsidP="005B1AA2">
      <w:pPr>
        <w:rPr>
          <w:lang w:val="en-US"/>
        </w:rPr>
      </w:pPr>
    </w:p>
    <w:p w:rsidR="005B1AA2" w:rsidRPr="005B1AA2" w:rsidRDefault="005B1AA2" w:rsidP="005B1AA2">
      <w:pPr>
        <w:rPr>
          <w:lang w:val="en-US"/>
        </w:rPr>
      </w:pPr>
    </w:p>
    <w:sectPr w:rsidR="005B1AA2" w:rsidRPr="005B1A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A7937"/>
    <w:multiLevelType w:val="hybridMultilevel"/>
    <w:tmpl w:val="06F092CA"/>
    <w:lvl w:ilvl="0" w:tplc="F872EE0E">
      <w:start w:val="1"/>
      <w:numFmt w:val="bullet"/>
      <w:lvlText w:val=""/>
      <w:lvlJc w:val="left"/>
      <w:pPr>
        <w:tabs>
          <w:tab w:val="num" w:pos="720"/>
        </w:tabs>
        <w:ind w:left="720" w:hanging="360"/>
      </w:pPr>
      <w:rPr>
        <w:rFonts w:ascii="Wingdings 2" w:hAnsi="Wingdings 2" w:hint="default"/>
      </w:rPr>
    </w:lvl>
    <w:lvl w:ilvl="1" w:tplc="2CC6EDFA">
      <w:start w:val="174"/>
      <w:numFmt w:val="bullet"/>
      <w:lvlText w:val="◦"/>
      <w:lvlJc w:val="left"/>
      <w:pPr>
        <w:tabs>
          <w:tab w:val="num" w:pos="1440"/>
        </w:tabs>
        <w:ind w:left="1440" w:hanging="360"/>
      </w:pPr>
      <w:rPr>
        <w:rFonts w:ascii="Verdana" w:hAnsi="Verdana" w:hint="default"/>
      </w:rPr>
    </w:lvl>
    <w:lvl w:ilvl="2" w:tplc="4EAA41B8" w:tentative="1">
      <w:start w:val="1"/>
      <w:numFmt w:val="bullet"/>
      <w:lvlText w:val=""/>
      <w:lvlJc w:val="left"/>
      <w:pPr>
        <w:tabs>
          <w:tab w:val="num" w:pos="2160"/>
        </w:tabs>
        <w:ind w:left="2160" w:hanging="360"/>
      </w:pPr>
      <w:rPr>
        <w:rFonts w:ascii="Wingdings 2" w:hAnsi="Wingdings 2" w:hint="default"/>
      </w:rPr>
    </w:lvl>
    <w:lvl w:ilvl="3" w:tplc="A2FE79A0" w:tentative="1">
      <w:start w:val="1"/>
      <w:numFmt w:val="bullet"/>
      <w:lvlText w:val=""/>
      <w:lvlJc w:val="left"/>
      <w:pPr>
        <w:tabs>
          <w:tab w:val="num" w:pos="2880"/>
        </w:tabs>
        <w:ind w:left="2880" w:hanging="360"/>
      </w:pPr>
      <w:rPr>
        <w:rFonts w:ascii="Wingdings 2" w:hAnsi="Wingdings 2" w:hint="default"/>
      </w:rPr>
    </w:lvl>
    <w:lvl w:ilvl="4" w:tplc="62CEE52E" w:tentative="1">
      <w:start w:val="1"/>
      <w:numFmt w:val="bullet"/>
      <w:lvlText w:val=""/>
      <w:lvlJc w:val="left"/>
      <w:pPr>
        <w:tabs>
          <w:tab w:val="num" w:pos="3600"/>
        </w:tabs>
        <w:ind w:left="3600" w:hanging="360"/>
      </w:pPr>
      <w:rPr>
        <w:rFonts w:ascii="Wingdings 2" w:hAnsi="Wingdings 2" w:hint="default"/>
      </w:rPr>
    </w:lvl>
    <w:lvl w:ilvl="5" w:tplc="966AFE1A" w:tentative="1">
      <w:start w:val="1"/>
      <w:numFmt w:val="bullet"/>
      <w:lvlText w:val=""/>
      <w:lvlJc w:val="left"/>
      <w:pPr>
        <w:tabs>
          <w:tab w:val="num" w:pos="4320"/>
        </w:tabs>
        <w:ind w:left="4320" w:hanging="360"/>
      </w:pPr>
      <w:rPr>
        <w:rFonts w:ascii="Wingdings 2" w:hAnsi="Wingdings 2" w:hint="default"/>
      </w:rPr>
    </w:lvl>
    <w:lvl w:ilvl="6" w:tplc="CB7CFAE4" w:tentative="1">
      <w:start w:val="1"/>
      <w:numFmt w:val="bullet"/>
      <w:lvlText w:val=""/>
      <w:lvlJc w:val="left"/>
      <w:pPr>
        <w:tabs>
          <w:tab w:val="num" w:pos="5040"/>
        </w:tabs>
        <w:ind w:left="5040" w:hanging="360"/>
      </w:pPr>
      <w:rPr>
        <w:rFonts w:ascii="Wingdings 2" w:hAnsi="Wingdings 2" w:hint="default"/>
      </w:rPr>
    </w:lvl>
    <w:lvl w:ilvl="7" w:tplc="B5C82F7E" w:tentative="1">
      <w:start w:val="1"/>
      <w:numFmt w:val="bullet"/>
      <w:lvlText w:val=""/>
      <w:lvlJc w:val="left"/>
      <w:pPr>
        <w:tabs>
          <w:tab w:val="num" w:pos="5760"/>
        </w:tabs>
        <w:ind w:left="5760" w:hanging="360"/>
      </w:pPr>
      <w:rPr>
        <w:rFonts w:ascii="Wingdings 2" w:hAnsi="Wingdings 2" w:hint="default"/>
      </w:rPr>
    </w:lvl>
    <w:lvl w:ilvl="8" w:tplc="7FF65F0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69E659D8"/>
    <w:multiLevelType w:val="hybridMultilevel"/>
    <w:tmpl w:val="E1840F52"/>
    <w:lvl w:ilvl="0" w:tplc="3580D7CE">
      <w:start w:val="1"/>
      <w:numFmt w:val="bullet"/>
      <w:lvlText w:val=""/>
      <w:lvlJc w:val="left"/>
      <w:pPr>
        <w:tabs>
          <w:tab w:val="num" w:pos="720"/>
        </w:tabs>
        <w:ind w:left="720" w:hanging="360"/>
      </w:pPr>
      <w:rPr>
        <w:rFonts w:ascii="Wingdings 2" w:hAnsi="Wingdings 2" w:hint="default"/>
      </w:rPr>
    </w:lvl>
    <w:lvl w:ilvl="1" w:tplc="AE50C14E" w:tentative="1">
      <w:start w:val="1"/>
      <w:numFmt w:val="bullet"/>
      <w:lvlText w:val=""/>
      <w:lvlJc w:val="left"/>
      <w:pPr>
        <w:tabs>
          <w:tab w:val="num" w:pos="1440"/>
        </w:tabs>
        <w:ind w:left="1440" w:hanging="360"/>
      </w:pPr>
      <w:rPr>
        <w:rFonts w:ascii="Wingdings 2" w:hAnsi="Wingdings 2" w:hint="default"/>
      </w:rPr>
    </w:lvl>
    <w:lvl w:ilvl="2" w:tplc="8452D66A" w:tentative="1">
      <w:start w:val="1"/>
      <w:numFmt w:val="bullet"/>
      <w:lvlText w:val=""/>
      <w:lvlJc w:val="left"/>
      <w:pPr>
        <w:tabs>
          <w:tab w:val="num" w:pos="2160"/>
        </w:tabs>
        <w:ind w:left="2160" w:hanging="360"/>
      </w:pPr>
      <w:rPr>
        <w:rFonts w:ascii="Wingdings 2" w:hAnsi="Wingdings 2" w:hint="default"/>
      </w:rPr>
    </w:lvl>
    <w:lvl w:ilvl="3" w:tplc="4BBCC400" w:tentative="1">
      <w:start w:val="1"/>
      <w:numFmt w:val="bullet"/>
      <w:lvlText w:val=""/>
      <w:lvlJc w:val="left"/>
      <w:pPr>
        <w:tabs>
          <w:tab w:val="num" w:pos="2880"/>
        </w:tabs>
        <w:ind w:left="2880" w:hanging="360"/>
      </w:pPr>
      <w:rPr>
        <w:rFonts w:ascii="Wingdings 2" w:hAnsi="Wingdings 2" w:hint="default"/>
      </w:rPr>
    </w:lvl>
    <w:lvl w:ilvl="4" w:tplc="D0C241B2" w:tentative="1">
      <w:start w:val="1"/>
      <w:numFmt w:val="bullet"/>
      <w:lvlText w:val=""/>
      <w:lvlJc w:val="left"/>
      <w:pPr>
        <w:tabs>
          <w:tab w:val="num" w:pos="3600"/>
        </w:tabs>
        <w:ind w:left="3600" w:hanging="360"/>
      </w:pPr>
      <w:rPr>
        <w:rFonts w:ascii="Wingdings 2" w:hAnsi="Wingdings 2" w:hint="default"/>
      </w:rPr>
    </w:lvl>
    <w:lvl w:ilvl="5" w:tplc="BCBABF9A" w:tentative="1">
      <w:start w:val="1"/>
      <w:numFmt w:val="bullet"/>
      <w:lvlText w:val=""/>
      <w:lvlJc w:val="left"/>
      <w:pPr>
        <w:tabs>
          <w:tab w:val="num" w:pos="4320"/>
        </w:tabs>
        <w:ind w:left="4320" w:hanging="360"/>
      </w:pPr>
      <w:rPr>
        <w:rFonts w:ascii="Wingdings 2" w:hAnsi="Wingdings 2" w:hint="default"/>
      </w:rPr>
    </w:lvl>
    <w:lvl w:ilvl="6" w:tplc="1B0277FE" w:tentative="1">
      <w:start w:val="1"/>
      <w:numFmt w:val="bullet"/>
      <w:lvlText w:val=""/>
      <w:lvlJc w:val="left"/>
      <w:pPr>
        <w:tabs>
          <w:tab w:val="num" w:pos="5040"/>
        </w:tabs>
        <w:ind w:left="5040" w:hanging="360"/>
      </w:pPr>
      <w:rPr>
        <w:rFonts w:ascii="Wingdings 2" w:hAnsi="Wingdings 2" w:hint="default"/>
      </w:rPr>
    </w:lvl>
    <w:lvl w:ilvl="7" w:tplc="CDB89ACC" w:tentative="1">
      <w:start w:val="1"/>
      <w:numFmt w:val="bullet"/>
      <w:lvlText w:val=""/>
      <w:lvlJc w:val="left"/>
      <w:pPr>
        <w:tabs>
          <w:tab w:val="num" w:pos="5760"/>
        </w:tabs>
        <w:ind w:left="5760" w:hanging="360"/>
      </w:pPr>
      <w:rPr>
        <w:rFonts w:ascii="Wingdings 2" w:hAnsi="Wingdings 2" w:hint="default"/>
      </w:rPr>
    </w:lvl>
    <w:lvl w:ilvl="8" w:tplc="321A7906"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D1"/>
    <w:rsid w:val="00033A5C"/>
    <w:rsid w:val="00145B8E"/>
    <w:rsid w:val="0014787F"/>
    <w:rsid w:val="001B3354"/>
    <w:rsid w:val="003C039F"/>
    <w:rsid w:val="0059730B"/>
    <w:rsid w:val="005B1AA2"/>
    <w:rsid w:val="006B25AD"/>
    <w:rsid w:val="008D1550"/>
    <w:rsid w:val="00A65A33"/>
    <w:rsid w:val="00E811D1"/>
    <w:rsid w:val="00F16B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0587"/>
  <w15:chartTrackingRefBased/>
  <w15:docId w15:val="{CE30396B-34A0-44E1-A87D-513277C0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11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11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1D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811D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F16B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A65A33"/>
    <w:pPr>
      <w:spacing w:after="200" w:line="240" w:lineRule="auto"/>
    </w:pPr>
    <w:rPr>
      <w:i/>
      <w:iCs/>
      <w:color w:val="44546A" w:themeColor="text2"/>
      <w:sz w:val="18"/>
      <w:szCs w:val="18"/>
      <w:lang w:val="en-GB"/>
    </w:rPr>
  </w:style>
  <w:style w:type="paragraph" w:customStyle="1" w:styleId="Illustration">
    <w:name w:val="Illustration"/>
    <w:basedOn w:val="Caption"/>
    <w:qFormat/>
    <w:rsid w:val="00A65A33"/>
  </w:style>
  <w:style w:type="paragraph" w:customStyle="1" w:styleId="TableContents">
    <w:name w:val="Table Contents"/>
    <w:basedOn w:val="Normal"/>
    <w:qFormat/>
    <w:rsid w:val="00A65A33"/>
    <w:rPr>
      <w:color w:val="00000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426210">
      <w:bodyDiv w:val="1"/>
      <w:marLeft w:val="0"/>
      <w:marRight w:val="0"/>
      <w:marTop w:val="0"/>
      <w:marBottom w:val="0"/>
      <w:divBdr>
        <w:top w:val="none" w:sz="0" w:space="0" w:color="auto"/>
        <w:left w:val="none" w:sz="0" w:space="0" w:color="auto"/>
        <w:bottom w:val="none" w:sz="0" w:space="0" w:color="auto"/>
        <w:right w:val="none" w:sz="0" w:space="0" w:color="auto"/>
      </w:divBdr>
      <w:divsChild>
        <w:div w:id="193616542">
          <w:marLeft w:val="418"/>
          <w:marRight w:val="0"/>
          <w:marTop w:val="50"/>
          <w:marBottom w:val="0"/>
          <w:divBdr>
            <w:top w:val="none" w:sz="0" w:space="0" w:color="auto"/>
            <w:left w:val="none" w:sz="0" w:space="0" w:color="auto"/>
            <w:bottom w:val="none" w:sz="0" w:space="0" w:color="auto"/>
            <w:right w:val="none" w:sz="0" w:space="0" w:color="auto"/>
          </w:divBdr>
        </w:div>
        <w:div w:id="116536478">
          <w:marLeft w:val="418"/>
          <w:marRight w:val="0"/>
          <w:marTop w:val="50"/>
          <w:marBottom w:val="0"/>
          <w:divBdr>
            <w:top w:val="none" w:sz="0" w:space="0" w:color="auto"/>
            <w:left w:val="none" w:sz="0" w:space="0" w:color="auto"/>
            <w:bottom w:val="none" w:sz="0" w:space="0" w:color="auto"/>
            <w:right w:val="none" w:sz="0" w:space="0" w:color="auto"/>
          </w:divBdr>
        </w:div>
        <w:div w:id="1901358942">
          <w:marLeft w:val="864"/>
          <w:marRight w:val="0"/>
          <w:marTop w:val="50"/>
          <w:marBottom w:val="0"/>
          <w:divBdr>
            <w:top w:val="none" w:sz="0" w:space="0" w:color="auto"/>
            <w:left w:val="none" w:sz="0" w:space="0" w:color="auto"/>
            <w:bottom w:val="none" w:sz="0" w:space="0" w:color="auto"/>
            <w:right w:val="none" w:sz="0" w:space="0" w:color="auto"/>
          </w:divBdr>
        </w:div>
        <w:div w:id="109591928">
          <w:marLeft w:val="864"/>
          <w:marRight w:val="0"/>
          <w:marTop w:val="50"/>
          <w:marBottom w:val="0"/>
          <w:divBdr>
            <w:top w:val="none" w:sz="0" w:space="0" w:color="auto"/>
            <w:left w:val="none" w:sz="0" w:space="0" w:color="auto"/>
            <w:bottom w:val="none" w:sz="0" w:space="0" w:color="auto"/>
            <w:right w:val="none" w:sz="0" w:space="0" w:color="auto"/>
          </w:divBdr>
        </w:div>
      </w:divsChild>
    </w:div>
    <w:div w:id="1660304912">
      <w:bodyDiv w:val="1"/>
      <w:marLeft w:val="0"/>
      <w:marRight w:val="0"/>
      <w:marTop w:val="0"/>
      <w:marBottom w:val="0"/>
      <w:divBdr>
        <w:top w:val="none" w:sz="0" w:space="0" w:color="auto"/>
        <w:left w:val="none" w:sz="0" w:space="0" w:color="auto"/>
        <w:bottom w:val="none" w:sz="0" w:space="0" w:color="auto"/>
        <w:right w:val="none" w:sz="0" w:space="0" w:color="auto"/>
      </w:divBdr>
    </w:div>
    <w:div w:id="1674604814">
      <w:bodyDiv w:val="1"/>
      <w:marLeft w:val="0"/>
      <w:marRight w:val="0"/>
      <w:marTop w:val="0"/>
      <w:marBottom w:val="0"/>
      <w:divBdr>
        <w:top w:val="none" w:sz="0" w:space="0" w:color="auto"/>
        <w:left w:val="none" w:sz="0" w:space="0" w:color="auto"/>
        <w:bottom w:val="none" w:sz="0" w:space="0" w:color="auto"/>
        <w:right w:val="none" w:sz="0" w:space="0" w:color="auto"/>
      </w:divBdr>
    </w:div>
    <w:div w:id="1946500830">
      <w:bodyDiv w:val="1"/>
      <w:marLeft w:val="0"/>
      <w:marRight w:val="0"/>
      <w:marTop w:val="0"/>
      <w:marBottom w:val="0"/>
      <w:divBdr>
        <w:top w:val="none" w:sz="0" w:space="0" w:color="auto"/>
        <w:left w:val="none" w:sz="0" w:space="0" w:color="auto"/>
        <w:bottom w:val="none" w:sz="0" w:space="0" w:color="auto"/>
        <w:right w:val="none" w:sz="0" w:space="0" w:color="auto"/>
      </w:divBdr>
      <w:divsChild>
        <w:div w:id="1159075643">
          <w:marLeft w:val="418"/>
          <w:marRight w:val="0"/>
          <w:marTop w:val="50"/>
          <w:marBottom w:val="0"/>
          <w:divBdr>
            <w:top w:val="none" w:sz="0" w:space="0" w:color="auto"/>
            <w:left w:val="none" w:sz="0" w:space="0" w:color="auto"/>
            <w:bottom w:val="none" w:sz="0" w:space="0" w:color="auto"/>
            <w:right w:val="none" w:sz="0" w:space="0" w:color="auto"/>
          </w:divBdr>
        </w:div>
        <w:div w:id="2032800360">
          <w:marLeft w:val="418"/>
          <w:marRight w:val="0"/>
          <w:marTop w:val="50"/>
          <w:marBottom w:val="0"/>
          <w:divBdr>
            <w:top w:val="none" w:sz="0" w:space="0" w:color="auto"/>
            <w:left w:val="none" w:sz="0" w:space="0" w:color="auto"/>
            <w:bottom w:val="none" w:sz="0" w:space="0" w:color="auto"/>
            <w:right w:val="none" w:sz="0" w:space="0" w:color="auto"/>
          </w:divBdr>
        </w:div>
        <w:div w:id="1599680990">
          <w:marLeft w:val="418"/>
          <w:marRight w:val="0"/>
          <w:marTop w:val="50"/>
          <w:marBottom w:val="0"/>
          <w:divBdr>
            <w:top w:val="none" w:sz="0" w:space="0" w:color="auto"/>
            <w:left w:val="none" w:sz="0" w:space="0" w:color="auto"/>
            <w:bottom w:val="none" w:sz="0" w:space="0" w:color="auto"/>
            <w:right w:val="none" w:sz="0" w:space="0" w:color="auto"/>
          </w:divBdr>
        </w:div>
        <w:div w:id="856578398">
          <w:marLeft w:val="418"/>
          <w:marRight w:val="0"/>
          <w:marTop w:val="50"/>
          <w:marBottom w:val="0"/>
          <w:divBdr>
            <w:top w:val="none" w:sz="0" w:space="0" w:color="auto"/>
            <w:left w:val="none" w:sz="0" w:space="0" w:color="auto"/>
            <w:bottom w:val="none" w:sz="0" w:space="0" w:color="auto"/>
            <w:right w:val="none" w:sz="0" w:space="0" w:color="auto"/>
          </w:divBdr>
        </w:div>
        <w:div w:id="1354726138">
          <w:marLeft w:val="418"/>
          <w:marRight w:val="0"/>
          <w:marTop w:val="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992</Words>
  <Characters>5655</Characters>
  <Application>Microsoft Office Word</Application>
  <DocSecurity>0</DocSecurity>
  <Lines>47</Lines>
  <Paragraphs>13</Paragraphs>
  <ScaleCrop>false</ScaleCrop>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Martín</dc:creator>
  <cp:keywords/>
  <dc:description/>
  <cp:lastModifiedBy>César Martín</cp:lastModifiedBy>
  <cp:revision>11</cp:revision>
  <dcterms:created xsi:type="dcterms:W3CDTF">2018-05-03T09:22:00Z</dcterms:created>
  <dcterms:modified xsi:type="dcterms:W3CDTF">2018-05-03T09:46:00Z</dcterms:modified>
</cp:coreProperties>
</file>